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D26FA1B" w14:textId="78C65F74" w:rsidR="007B5DCE" w:rsidRDefault="00C376A8" w:rsidP="007B5DCE">
      <w:pPr>
        <w:spacing w:after="120" w:line="360" w:lineRule="auto"/>
        <w:jc w:val="both"/>
        <w:rPr>
          <w:rFonts w:cs="Arial"/>
          <w:b/>
          <w:iCs/>
          <w:sz w:val="28"/>
          <w:szCs w:val="28"/>
        </w:rPr>
      </w:pPr>
      <w:bookmarkStart w:id="0" w:name="_Hlk69916362"/>
      <w:proofErr w:type="gramStart"/>
      <w:r>
        <w:rPr>
          <w:rFonts w:cs="Arial"/>
          <w:b/>
          <w:iCs/>
          <w:sz w:val="28"/>
          <w:szCs w:val="28"/>
        </w:rPr>
        <w:t>Türkiye:</w:t>
      </w:r>
      <w:proofErr w:type="gramEnd"/>
      <w:r>
        <w:rPr>
          <w:rFonts w:cs="Arial"/>
          <w:b/>
          <w:iCs/>
          <w:sz w:val="28"/>
          <w:szCs w:val="28"/>
        </w:rPr>
        <w:t xml:space="preserve"> </w:t>
      </w:r>
      <w:r w:rsidRPr="00C376A8">
        <w:rPr>
          <w:rFonts w:cs="Arial"/>
          <w:b/>
          <w:iCs/>
          <w:sz w:val="28"/>
          <w:szCs w:val="28"/>
        </w:rPr>
        <w:t>Antalya : le théâtre d'événements internationaux en 2026</w:t>
      </w:r>
    </w:p>
    <w:p w14:paraId="3FCD833B" w14:textId="3471CB6C" w:rsidR="00A855B0" w:rsidRPr="00C376A8" w:rsidRDefault="00595751" w:rsidP="007B5DCE">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C376A8">
        <w:rPr>
          <w:rFonts w:cs="Arial"/>
          <w:b/>
          <w:iCs/>
        </w:rPr>
        <w:t>25</w:t>
      </w:r>
      <w:r w:rsidR="007B5DCE">
        <w:rPr>
          <w:rFonts w:cs="Arial"/>
          <w:b/>
          <w:iCs/>
        </w:rPr>
        <w:t>.05.</w:t>
      </w:r>
      <w:r w:rsidR="00602ED9" w:rsidRPr="004511E7">
        <w:rPr>
          <w:rFonts w:cs="Arial"/>
          <w:b/>
          <w:iCs/>
        </w:rPr>
        <w:t>202</w:t>
      </w:r>
      <w:r w:rsidR="00DB561B">
        <w:rPr>
          <w:rFonts w:cs="Arial"/>
          <w:b/>
          <w:iCs/>
        </w:rPr>
        <w:t>6:</w:t>
      </w:r>
      <w:r w:rsidR="00765B4E" w:rsidRPr="00765B4E">
        <w:t xml:space="preserve"> </w:t>
      </w:r>
      <w:bookmarkStart w:id="1" w:name="_Hlk79760686"/>
      <w:bookmarkEnd w:id="0"/>
      <w:r w:rsidR="00C376A8" w:rsidRPr="00C376A8">
        <w:rPr>
          <w:rFonts w:cs="Arial"/>
          <w:b/>
          <w:iCs/>
        </w:rPr>
        <w:t>Avec ses paysages naturels époustouflants, ses plages Pavillon Bleu baignées de soleil, ses sites antiques fascinants et son riche patrimoine culturel, Antalya allie sans peine histoire, nature et confort moderne.</w:t>
      </w:r>
    </w:p>
    <w:p w14:paraId="20C7E4AA" w14:textId="6D30029A" w:rsidR="00140BA6" w:rsidRDefault="00C376A8" w:rsidP="007B5DCE">
      <w:pPr>
        <w:spacing w:after="120" w:line="360" w:lineRule="auto"/>
        <w:jc w:val="both"/>
        <w:rPr>
          <w:rFonts w:cs="Arial"/>
          <w:iCs/>
        </w:rPr>
      </w:pPr>
      <w:r w:rsidRPr="00C376A8">
        <w:rPr>
          <w:rFonts w:cs="Arial"/>
          <w:iCs/>
        </w:rPr>
        <w:t xml:space="preserve">Agrémentée d’une cuisine méditerranéenne raffinée et de complexes hôteliers de classe mondiale offrant un luxe exceptionnel, la ville s’impose comme l’une des destinations les plus captivantes de la Riviera turque — et un véritable fleuron du secteur touristique de la Turquie. Mais ce n’est pas tout. Dotée d’un écosystème de congrès bien établi comprenant plus de 300 hôtels cinq étoiles et plus de 175 000 places assises, Antalya offre également une infrastructure exceptionnelle pour les voyages d’affaires. Ayant accueilli avec succès des événements internationaux de premier plan tels que le sommet du </w:t>
      </w:r>
      <w:proofErr w:type="spellStart"/>
      <w:r w:rsidRPr="00C376A8">
        <w:rPr>
          <w:rFonts w:cs="Arial"/>
          <w:iCs/>
        </w:rPr>
        <w:t>G20</w:t>
      </w:r>
      <w:proofErr w:type="spellEnd"/>
      <w:r w:rsidRPr="00C376A8">
        <w:rPr>
          <w:rFonts w:cs="Arial"/>
          <w:iCs/>
        </w:rPr>
        <w:t>, la ville s’est forgé une solide réputation de pôle mondial fiable pour les réunions.</w:t>
      </w:r>
    </w:p>
    <w:p w14:paraId="783548E2" w14:textId="0E949491" w:rsidR="00C376A8" w:rsidRDefault="00C376A8" w:rsidP="007B5DCE">
      <w:pPr>
        <w:spacing w:after="120" w:line="360" w:lineRule="auto"/>
        <w:jc w:val="both"/>
        <w:rPr>
          <w:rFonts w:cs="Arial"/>
          <w:iCs/>
        </w:rPr>
      </w:pPr>
      <w:r w:rsidRPr="00C376A8">
        <w:rPr>
          <w:rFonts w:cs="Arial"/>
          <w:iCs/>
        </w:rPr>
        <w:t xml:space="preserve">Forte de cet atout, Antalya continue de s’imposer comme une destination de choix pour un large éventail d’événements nationaux et internationaux — des conférences mondiales aux grands festivals culturels et artistiques, en passant par les manifestations sportives majeures —, garantissant ainsi un calendrier dynamique et richement varié tout au long de l’année 2026. Parmi les grands rassemblements qu'Antalya accueillera, citons Sports &amp; Events Türkiye, le premier salon international du tourisme sportif de Türkiye, du 31 mai au 3 juin 2026, le </w:t>
      </w:r>
      <w:proofErr w:type="spellStart"/>
      <w:r w:rsidRPr="00C376A8">
        <w:rPr>
          <w:rFonts w:cs="Arial"/>
          <w:iCs/>
        </w:rPr>
        <w:t>77e</w:t>
      </w:r>
      <w:proofErr w:type="spellEnd"/>
      <w:r w:rsidRPr="00C376A8">
        <w:rPr>
          <w:rFonts w:cs="Arial"/>
          <w:iCs/>
        </w:rPr>
        <w:t xml:space="preserve"> Congrès international d'astronautique (IAC) du 5 au 9 octobre, et la Conférence des Nations unies sur les changements climatiques (COP31) du 9 au 20 novembre. Antalya accueillera également divers événements culturels et artistiques, tels que le célèbre Festival d’opéra et de ballet d’</w:t>
      </w:r>
      <w:proofErr w:type="spellStart"/>
      <w:r w:rsidRPr="00C376A8">
        <w:rPr>
          <w:rFonts w:cs="Arial"/>
          <w:iCs/>
        </w:rPr>
        <w:t>Aspendos</w:t>
      </w:r>
      <w:proofErr w:type="spellEnd"/>
      <w:r w:rsidRPr="00C376A8">
        <w:rPr>
          <w:rFonts w:cs="Arial"/>
          <w:iCs/>
        </w:rPr>
        <w:t xml:space="preserve">, ainsi que des événements sportifs majeurs, notamment le marathon </w:t>
      </w:r>
      <w:proofErr w:type="spellStart"/>
      <w:r w:rsidRPr="00C376A8">
        <w:rPr>
          <w:rFonts w:cs="Arial"/>
          <w:iCs/>
        </w:rPr>
        <w:t>Runtalya</w:t>
      </w:r>
      <w:proofErr w:type="spellEnd"/>
      <w:r w:rsidRPr="00C376A8">
        <w:rPr>
          <w:rFonts w:cs="Arial"/>
          <w:iCs/>
        </w:rPr>
        <w:t xml:space="preserve"> et le tournoi de golf Turkish Airlines Open.</w:t>
      </w:r>
    </w:p>
    <w:p w14:paraId="22143C82" w14:textId="05D32E27" w:rsidR="00C376A8" w:rsidRPr="00C376A8" w:rsidRDefault="00C376A8" w:rsidP="007B5DCE">
      <w:pPr>
        <w:spacing w:after="120" w:line="360" w:lineRule="auto"/>
        <w:jc w:val="both"/>
        <w:rPr>
          <w:rFonts w:cs="Arial"/>
          <w:b/>
          <w:bCs/>
          <w:iCs/>
        </w:rPr>
      </w:pPr>
      <w:r w:rsidRPr="00C376A8">
        <w:rPr>
          <w:rFonts w:cs="Arial"/>
          <w:b/>
          <w:bCs/>
          <w:iCs/>
        </w:rPr>
        <w:t>IXe Semaine de la mode d'Antalya (IXe AFW) : une vitrine internationale pour la mode</w:t>
      </w:r>
    </w:p>
    <w:p w14:paraId="01DE4ADF" w14:textId="4559D039" w:rsidR="00C376A8" w:rsidRDefault="00C376A8" w:rsidP="007B5DCE">
      <w:pPr>
        <w:spacing w:after="120" w:line="360" w:lineRule="auto"/>
        <w:jc w:val="both"/>
        <w:rPr>
          <w:rFonts w:cs="Arial"/>
          <w:iCs/>
        </w:rPr>
      </w:pPr>
      <w:r w:rsidRPr="00C376A8">
        <w:rPr>
          <w:rFonts w:cs="Arial"/>
          <w:iCs/>
        </w:rPr>
        <w:t xml:space="preserve">Au cœur de ce calendrier événementiel très riche, Antalya reste un pôle d'attraction pour des organisations internationales de longue date. L'Antalya Fashion Week en fait partie : elle accueillera ses invités pour sa 9e édition, qui se tiendra du 2 au 4 juin. Dans la perspective de sa vision pour 2026, la </w:t>
      </w:r>
      <w:hyperlink r:id="rId8" w:history="1">
        <w:r w:rsidRPr="00C376A8">
          <w:rPr>
            <w:rStyle w:val="Hyperlink"/>
            <w:rFonts w:cs="Arial"/>
            <w:iCs/>
          </w:rPr>
          <w:t>9e Antalya Fashion Week</w:t>
        </w:r>
      </w:hyperlink>
      <w:r w:rsidRPr="00C376A8">
        <w:rPr>
          <w:rFonts w:cs="Arial"/>
          <w:iCs/>
        </w:rPr>
        <w:t xml:space="preserve"> a pour objectif de mettre en valeur la culture, l'esprit multiculturel et la géographie unique d'Antalya sur la scène mondiale de la mode.</w:t>
      </w:r>
    </w:p>
    <w:p w14:paraId="4E4B6A0A" w14:textId="74213A11" w:rsidR="00C376A8" w:rsidRDefault="00C376A8" w:rsidP="007B5DCE">
      <w:pPr>
        <w:spacing w:after="120" w:line="360" w:lineRule="auto"/>
        <w:jc w:val="both"/>
        <w:rPr>
          <w:rFonts w:cs="Arial"/>
          <w:iCs/>
        </w:rPr>
      </w:pPr>
      <w:r w:rsidRPr="00C376A8">
        <w:rPr>
          <w:rFonts w:cs="Arial"/>
          <w:iCs/>
        </w:rPr>
        <w:lastRenderedPageBreak/>
        <w:t>En complément de son positionnement culturel, la IXe édition de l'Antalya Fashion Week (AFW) proposera des programmes novateurs qui mettent en avant une approche de la mode hors saison, réinterprétant l'esprit d'Antalya à travers des défilés exclusifs organisés dans des lieux historiques, ainsi que des ateliers et des collaborations créatives. Avec la participation de grands créateurs turcs ainsi que de designers venus de divers pays, notamment de Russie, des Émirats arabes unis et du Kazakhstan, l'Antalya Fashion Week démontrera une nouvelle fois avec force sa vision internationale en pleine expansion.</w:t>
      </w:r>
    </w:p>
    <w:p w14:paraId="393E2EC0" w14:textId="65343649" w:rsidR="00C376A8" w:rsidRPr="00064295" w:rsidRDefault="00064295" w:rsidP="007B5DCE">
      <w:pPr>
        <w:spacing w:after="120" w:line="360" w:lineRule="auto"/>
        <w:jc w:val="both"/>
        <w:rPr>
          <w:rFonts w:cs="Arial"/>
          <w:b/>
          <w:bCs/>
          <w:iCs/>
        </w:rPr>
      </w:pPr>
      <w:r w:rsidRPr="00064295">
        <w:rPr>
          <w:rFonts w:cs="Arial"/>
          <w:b/>
          <w:bCs/>
          <w:iCs/>
        </w:rPr>
        <w:t>Antalya : une destination qui offre des expériences infinies tout au long de l'année</w:t>
      </w:r>
    </w:p>
    <w:p w14:paraId="768A3E32" w14:textId="2F943836" w:rsidR="00064295" w:rsidRDefault="00064295" w:rsidP="007B5DCE">
      <w:pPr>
        <w:spacing w:after="120" w:line="360" w:lineRule="auto"/>
        <w:jc w:val="both"/>
        <w:rPr>
          <w:rFonts w:cs="Arial"/>
          <w:iCs/>
        </w:rPr>
      </w:pPr>
      <w:r w:rsidRPr="00064295">
        <w:rPr>
          <w:rFonts w:cs="Arial"/>
          <w:iCs/>
        </w:rPr>
        <w:t>Avec ses 300 jours d'ensoleillement et ses eaux cristallines de la Méditerranée, Antalya, sur la Riviera turque, est surtout connue comme la destination estivale incontournable de la Türkiye. Des hôtels adaptés aux familles, des plages Pavillon Bleu et de nombreuses activités de loisirs contribuent également au charme de la ville. Cependant, grâce à son climat doux et à son offre variée, allant des visites touristiques aux découvertes culinaires, Antalya est une destination idéale toute l'année qui séduit tous les types de voyageurs.</w:t>
      </w:r>
    </w:p>
    <w:p w14:paraId="1C9FB18B" w14:textId="1333FE3E" w:rsidR="00064295" w:rsidRDefault="00064295" w:rsidP="007B5DCE">
      <w:pPr>
        <w:spacing w:after="120" w:line="360" w:lineRule="auto"/>
        <w:jc w:val="both"/>
        <w:rPr>
          <w:rFonts w:cs="Arial"/>
          <w:iCs/>
        </w:rPr>
      </w:pPr>
      <w:r w:rsidRPr="00064295">
        <w:rPr>
          <w:rFonts w:cs="Arial"/>
          <w:iCs/>
        </w:rPr>
        <w:t xml:space="preserve">Située au carrefour de trois régions antiques, Antalya se distingue par son riche patrimoine historique. Les visiteurs peuvent découvrir le charme de </w:t>
      </w:r>
      <w:proofErr w:type="spellStart"/>
      <w:r w:rsidRPr="00064295">
        <w:rPr>
          <w:rFonts w:cs="Arial"/>
          <w:iCs/>
        </w:rPr>
        <w:t>Kaleiçi</w:t>
      </w:r>
      <w:proofErr w:type="spellEnd"/>
      <w:r w:rsidRPr="00064295">
        <w:rPr>
          <w:rFonts w:cs="Arial"/>
          <w:iCs/>
        </w:rPr>
        <w:t xml:space="preserve">, le centre historique de la ville, ainsi que de nombreux sites archéologiques de renommée mondiale, notamment </w:t>
      </w:r>
      <w:proofErr w:type="spellStart"/>
      <w:r w:rsidRPr="00064295">
        <w:rPr>
          <w:rFonts w:cs="Arial"/>
          <w:iCs/>
        </w:rPr>
        <w:t>Aspendos</w:t>
      </w:r>
      <w:proofErr w:type="spellEnd"/>
      <w:r w:rsidRPr="00064295">
        <w:rPr>
          <w:rFonts w:cs="Arial"/>
          <w:iCs/>
        </w:rPr>
        <w:t xml:space="preserve">, Patara, </w:t>
      </w:r>
      <w:proofErr w:type="spellStart"/>
      <w:r w:rsidRPr="00064295">
        <w:rPr>
          <w:rFonts w:cs="Arial"/>
          <w:iCs/>
        </w:rPr>
        <w:t>Side</w:t>
      </w:r>
      <w:proofErr w:type="spellEnd"/>
      <w:r w:rsidRPr="00064295">
        <w:rPr>
          <w:rFonts w:cs="Arial"/>
          <w:iCs/>
        </w:rPr>
        <w:t xml:space="preserve"> et </w:t>
      </w:r>
      <w:proofErr w:type="spellStart"/>
      <w:r w:rsidRPr="00064295">
        <w:rPr>
          <w:rFonts w:cs="Arial"/>
          <w:iCs/>
        </w:rPr>
        <w:t>Phaselis</w:t>
      </w:r>
      <w:proofErr w:type="spellEnd"/>
      <w:r w:rsidRPr="00064295">
        <w:rPr>
          <w:rFonts w:cs="Arial"/>
          <w:iCs/>
        </w:rPr>
        <w:t>. Antalya offre également d’excellentes possibilités d’activités de plein air, telles que la randonnée, le vélo et les excursions en bateau. Les voyageurs peuvent parcourir à pied la légendaire Voie lycienne, faire du vélo sur les routes panoramiques des monts Taurus ou participer à une croisière bleue pour découvrir les baies cachées de la région.</w:t>
      </w:r>
    </w:p>
    <w:p w14:paraId="3592C74E" w14:textId="5AF4CD75" w:rsidR="00064295" w:rsidRDefault="00064295" w:rsidP="007B5DCE">
      <w:pPr>
        <w:spacing w:after="120" w:line="360" w:lineRule="auto"/>
        <w:jc w:val="both"/>
        <w:rPr>
          <w:rFonts w:cs="Arial"/>
          <w:iCs/>
        </w:rPr>
      </w:pPr>
      <w:r w:rsidRPr="00064295">
        <w:rPr>
          <w:rFonts w:cs="Arial"/>
          <w:iCs/>
        </w:rPr>
        <w:t xml:space="preserve">Avec une saison estivale qui s'étend souvent jusqu'en octobre, la ville offre de nombreuses autres expériences inoubliables, qu'il s'agisse de jouer au golf à Belek, de faire de la plongée à </w:t>
      </w:r>
      <w:proofErr w:type="spellStart"/>
      <w:r w:rsidRPr="00064295">
        <w:rPr>
          <w:rFonts w:cs="Arial"/>
          <w:iCs/>
        </w:rPr>
        <w:t>Kaş</w:t>
      </w:r>
      <w:proofErr w:type="spellEnd"/>
      <w:r w:rsidRPr="00064295">
        <w:rPr>
          <w:rFonts w:cs="Arial"/>
          <w:iCs/>
        </w:rPr>
        <w:t xml:space="preserve">, d'explorer d'impressionnantes grottes telles que </w:t>
      </w:r>
      <w:proofErr w:type="spellStart"/>
      <w:r w:rsidRPr="00064295">
        <w:rPr>
          <w:rFonts w:cs="Arial"/>
          <w:iCs/>
        </w:rPr>
        <w:t>Karain</w:t>
      </w:r>
      <w:proofErr w:type="spellEnd"/>
      <w:r w:rsidRPr="00064295">
        <w:rPr>
          <w:rFonts w:cs="Arial"/>
          <w:iCs/>
        </w:rPr>
        <w:t xml:space="preserve"> et </w:t>
      </w:r>
      <w:proofErr w:type="spellStart"/>
      <w:r w:rsidRPr="00064295">
        <w:rPr>
          <w:rFonts w:cs="Arial"/>
          <w:iCs/>
        </w:rPr>
        <w:t>Damlataş</w:t>
      </w:r>
      <w:proofErr w:type="spellEnd"/>
      <w:r w:rsidRPr="00064295">
        <w:rPr>
          <w:rFonts w:cs="Arial"/>
          <w:iCs/>
        </w:rPr>
        <w:t xml:space="preserve"> ou de faire du rafting dans le canyon de Köprülü. De plus, la cuisine méditerranéenne, riche en fruits de mer frais, en huile d'olive et en vins locaux, apporte une touche particulière à chaque séjour.</w:t>
      </w:r>
    </w:p>
    <w:p w14:paraId="23510BD3" w14:textId="77777777" w:rsidR="00851816" w:rsidRPr="00017CDA" w:rsidRDefault="00851816" w:rsidP="00017CDA">
      <w:pPr>
        <w:spacing w:before="120" w:line="360" w:lineRule="auto"/>
        <w:jc w:val="both"/>
        <w:rPr>
          <w:rFonts w:cs="Arial"/>
          <w:iCs/>
        </w:rPr>
      </w:pPr>
    </w:p>
    <w:p w14:paraId="5EC057C4" w14:textId="12933494" w:rsidR="007D2F53" w:rsidRPr="00851816" w:rsidRDefault="00687F66" w:rsidP="00851816">
      <w:pPr>
        <w:spacing w:after="120" w:line="360" w:lineRule="auto"/>
        <w:jc w:val="both"/>
        <w:rPr>
          <w:rFonts w:eastAsia="Times New Roman" w:cs="Arial"/>
        </w:rPr>
      </w:pPr>
      <w:r w:rsidRPr="004511E7">
        <w:rPr>
          <w:rFonts w:eastAsia="Times New Roman" w:cs="Arial"/>
        </w:rPr>
        <w:t xml:space="preserve">Vous trouverez </w:t>
      </w:r>
      <w:hyperlink r:id="rId9" w:history="1">
        <w:r w:rsidRPr="00765B4E">
          <w:rPr>
            <w:rStyle w:val="Hyperlink"/>
            <w:rFonts w:eastAsia="Times New Roman" w:cs="Arial"/>
            <w:b/>
            <w:bCs/>
          </w:rPr>
          <w:t>ici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spellStart"/>
      <w:proofErr w:type="gramStart"/>
      <w:r w:rsidRPr="00A855B0">
        <w:rPr>
          <w:rFonts w:ascii="Arial" w:hAnsi="Arial" w:cs="Arial"/>
          <w:sz w:val="22"/>
          <w:szCs w:val="22"/>
          <w:lang w:val="fr-CH"/>
        </w:rPr>
        <w:t>Website</w:t>
      </w:r>
      <w:proofErr w:type="spellEnd"/>
      <w:r w:rsidRPr="00A855B0">
        <w:rPr>
          <w:rFonts w:ascii="Arial" w:hAnsi="Arial" w:cs="Arial"/>
          <w:sz w:val="22"/>
          <w:szCs w:val="22"/>
          <w:lang w:val="fr-CH"/>
        </w:rPr>
        <w:t>:</w:t>
      </w:r>
      <w:proofErr w:type="gramEnd"/>
      <w:r w:rsidRPr="00A855B0">
        <w:rPr>
          <w:rFonts w:ascii="Arial" w:hAnsi="Arial" w:cs="Arial"/>
          <w:sz w:val="22"/>
          <w:szCs w:val="22"/>
          <w:lang w:val="fr-CH"/>
        </w:rPr>
        <w:t xml:space="preserve"> </w:t>
      </w:r>
      <w:hyperlink r:id="rId10"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gramStart"/>
      <w:r w:rsidRPr="00A855B0">
        <w:rPr>
          <w:rFonts w:ascii="Arial" w:hAnsi="Arial" w:cs="Arial"/>
          <w:sz w:val="22"/>
          <w:szCs w:val="22"/>
          <w:lang w:val="fr-CH"/>
        </w:rPr>
        <w:t>Facebook:</w:t>
      </w:r>
      <w:proofErr w:type="gramEnd"/>
      <w:r w:rsidRPr="00A855B0">
        <w:rPr>
          <w:rFonts w:ascii="Arial" w:hAnsi="Arial" w:cs="Arial"/>
          <w:sz w:val="22"/>
          <w:szCs w:val="22"/>
          <w:lang w:val="fr-CH"/>
        </w:rPr>
        <w:t xml:space="preserve"> </w:t>
      </w:r>
      <w:hyperlink r:id="rId11"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lastRenderedPageBreak/>
        <w:t xml:space="preserve">Instagram: </w:t>
      </w:r>
      <w:hyperlink r:id="rId12"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3"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14"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A855B0">
        <w:rPr>
          <w:rFonts w:ascii="Arial" w:hAnsi="Arial" w:cs="Arial"/>
          <w:bCs/>
          <w:sz w:val="20"/>
          <w:szCs w:val="22"/>
          <w:lang w:val="fr-CH"/>
        </w:rPr>
        <w:t>E-mail:</w:t>
      </w:r>
      <w:proofErr w:type="gramEnd"/>
      <w:r w:rsidRPr="00A855B0">
        <w:rPr>
          <w:rFonts w:ascii="Arial" w:hAnsi="Arial" w:cs="Arial"/>
          <w:bCs/>
          <w:sz w:val="20"/>
          <w:szCs w:val="22"/>
          <w:lang w:val="fr-CH"/>
        </w:rPr>
        <w:t xml:space="preserve"> info@gretzcom.ch</w:t>
      </w:r>
      <w:r w:rsidRPr="00A855B0">
        <w:rPr>
          <w:rFonts w:ascii="Arial" w:hAnsi="Arial" w:cs="Arial"/>
          <w:sz w:val="20"/>
          <w:szCs w:val="22"/>
          <w:lang w:val="fr-CH"/>
        </w:rPr>
        <w:br/>
      </w:r>
      <w:proofErr w:type="gramStart"/>
      <w:r w:rsidRPr="00A855B0">
        <w:rPr>
          <w:rFonts w:ascii="Arial" w:hAnsi="Arial" w:cs="Arial"/>
          <w:bCs/>
          <w:sz w:val="20"/>
          <w:szCs w:val="22"/>
          <w:lang w:val="fr-CH"/>
        </w:rPr>
        <w:t>Internet:</w:t>
      </w:r>
      <w:proofErr w:type="gramEnd"/>
      <w:r w:rsidRPr="00A855B0">
        <w:rPr>
          <w:rFonts w:ascii="Arial" w:hAnsi="Arial" w:cs="Arial"/>
          <w:bCs/>
          <w:sz w:val="20"/>
          <w:szCs w:val="22"/>
          <w:lang w:val="fr-CH"/>
        </w:rPr>
        <w:t xml:space="preserve"> </w:t>
      </w:r>
      <w:hyperlink r:id="rId15"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6"/>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5337" w14:textId="77777777" w:rsidR="00C66D9F" w:rsidRPr="004511E7" w:rsidRDefault="00C66D9F" w:rsidP="004B1BAE">
      <w:r w:rsidRPr="004511E7">
        <w:separator/>
      </w:r>
    </w:p>
  </w:endnote>
  <w:endnote w:type="continuationSeparator" w:id="0">
    <w:p w14:paraId="3E12101B" w14:textId="77777777" w:rsidR="00C66D9F" w:rsidRPr="004511E7" w:rsidRDefault="00C66D9F"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1D73" w14:textId="77777777" w:rsidR="00C66D9F" w:rsidRPr="004511E7" w:rsidRDefault="00C66D9F" w:rsidP="004B1BAE">
      <w:r w:rsidRPr="004511E7">
        <w:separator/>
      </w:r>
    </w:p>
  </w:footnote>
  <w:footnote w:type="continuationSeparator" w:id="0">
    <w:p w14:paraId="4DDF84A0" w14:textId="77777777" w:rsidR="00C66D9F" w:rsidRPr="004511E7" w:rsidRDefault="00C66D9F"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17CDA"/>
    <w:rsid w:val="000211B0"/>
    <w:rsid w:val="00030062"/>
    <w:rsid w:val="000324BC"/>
    <w:rsid w:val="00034932"/>
    <w:rsid w:val="0003751D"/>
    <w:rsid w:val="0004368A"/>
    <w:rsid w:val="00051E8F"/>
    <w:rsid w:val="00054EB8"/>
    <w:rsid w:val="00056E7F"/>
    <w:rsid w:val="00064295"/>
    <w:rsid w:val="00075F5D"/>
    <w:rsid w:val="000820A2"/>
    <w:rsid w:val="00084F8D"/>
    <w:rsid w:val="00085CD0"/>
    <w:rsid w:val="00090D94"/>
    <w:rsid w:val="0009125B"/>
    <w:rsid w:val="00093284"/>
    <w:rsid w:val="000A55E3"/>
    <w:rsid w:val="000B5AC9"/>
    <w:rsid w:val="000C6415"/>
    <w:rsid w:val="001279EE"/>
    <w:rsid w:val="001332BE"/>
    <w:rsid w:val="00134046"/>
    <w:rsid w:val="00140BA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C4460"/>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401850"/>
    <w:rsid w:val="004173DC"/>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181C"/>
    <w:rsid w:val="005678AA"/>
    <w:rsid w:val="00570F88"/>
    <w:rsid w:val="005763D7"/>
    <w:rsid w:val="005819BC"/>
    <w:rsid w:val="005905D6"/>
    <w:rsid w:val="00595751"/>
    <w:rsid w:val="005F1586"/>
    <w:rsid w:val="005F4F64"/>
    <w:rsid w:val="005F593F"/>
    <w:rsid w:val="005F71A2"/>
    <w:rsid w:val="005F73AC"/>
    <w:rsid w:val="00601D98"/>
    <w:rsid w:val="00602ED9"/>
    <w:rsid w:val="00603221"/>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219D"/>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6EA1"/>
    <w:rsid w:val="007F2AA1"/>
    <w:rsid w:val="007F3181"/>
    <w:rsid w:val="007F3CB2"/>
    <w:rsid w:val="007F47B8"/>
    <w:rsid w:val="007F54FD"/>
    <w:rsid w:val="0080704B"/>
    <w:rsid w:val="00810707"/>
    <w:rsid w:val="008133F6"/>
    <w:rsid w:val="00833619"/>
    <w:rsid w:val="00834970"/>
    <w:rsid w:val="0083718F"/>
    <w:rsid w:val="0084040C"/>
    <w:rsid w:val="0084121E"/>
    <w:rsid w:val="00842CA9"/>
    <w:rsid w:val="00847446"/>
    <w:rsid w:val="00847947"/>
    <w:rsid w:val="00851816"/>
    <w:rsid w:val="00855D60"/>
    <w:rsid w:val="00867EDD"/>
    <w:rsid w:val="00875427"/>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65"/>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46F5"/>
    <w:rsid w:val="00B551E2"/>
    <w:rsid w:val="00B56530"/>
    <w:rsid w:val="00B56D16"/>
    <w:rsid w:val="00B57470"/>
    <w:rsid w:val="00B662D1"/>
    <w:rsid w:val="00B726F1"/>
    <w:rsid w:val="00B76453"/>
    <w:rsid w:val="00B80310"/>
    <w:rsid w:val="00B82721"/>
    <w:rsid w:val="00B83A6F"/>
    <w:rsid w:val="00B86EBA"/>
    <w:rsid w:val="00BA1D3B"/>
    <w:rsid w:val="00BC3969"/>
    <w:rsid w:val="00BE0169"/>
    <w:rsid w:val="00BE10C9"/>
    <w:rsid w:val="00BE6F2C"/>
    <w:rsid w:val="00BF1ECA"/>
    <w:rsid w:val="00BF5514"/>
    <w:rsid w:val="00C03F5E"/>
    <w:rsid w:val="00C04696"/>
    <w:rsid w:val="00C14F39"/>
    <w:rsid w:val="00C1530D"/>
    <w:rsid w:val="00C20656"/>
    <w:rsid w:val="00C31D5B"/>
    <w:rsid w:val="00C33FC1"/>
    <w:rsid w:val="00C376A8"/>
    <w:rsid w:val="00C432CB"/>
    <w:rsid w:val="00C442E9"/>
    <w:rsid w:val="00C60C74"/>
    <w:rsid w:val="00C64DD0"/>
    <w:rsid w:val="00C65B10"/>
    <w:rsid w:val="00C66D9F"/>
    <w:rsid w:val="00C71683"/>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C72E3"/>
    <w:rsid w:val="00EE05FC"/>
    <w:rsid w:val="00EE1639"/>
    <w:rsid w:val="00EF3B9E"/>
    <w:rsid w:val="00F01F42"/>
    <w:rsid w:val="00F0221E"/>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fashionweek.com/" TargetMode="External"/><Relationship Id="rId13" Type="http://schemas.openxmlformats.org/officeDocument/2006/relationships/hyperlink" Target="https://x.com/goturkiy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goturkiy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oTurkiye" TargetMode="External"/><Relationship Id="rId5" Type="http://schemas.openxmlformats.org/officeDocument/2006/relationships/webSettings" Target="webSettings.xml"/><Relationship Id="rId15" Type="http://schemas.openxmlformats.org/officeDocument/2006/relationships/hyperlink" Target="http://www.goturkey.com/" TargetMode="External"/><Relationship Id="rId10" Type="http://schemas.openxmlformats.org/officeDocument/2006/relationships/hyperlink" Target="https://goturkiye.com/" TargetMode="External"/><Relationship Id="rId4" Type="http://schemas.openxmlformats.org/officeDocument/2006/relationships/settings" Target="settings.xml"/><Relationship Id="rId9" Type="http://schemas.openxmlformats.org/officeDocument/2006/relationships/hyperlink" Target="https://we.tl/t-0e17yAuqDVdGQakj" TargetMode="External"/><Relationship Id="rId14" Type="http://schemas.openxmlformats.org/officeDocument/2006/relationships/hyperlink" Target="http://www.youtube.com/GoT&#252;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926</Words>
  <Characters>5840</Characters>
  <Application>Microsoft Office Word</Application>
  <DocSecurity>0</DocSecurity>
  <Lines>48</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6753</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26</cp:revision>
  <cp:lastPrinted>2026-03-11T15:53:00Z</cp:lastPrinted>
  <dcterms:created xsi:type="dcterms:W3CDTF">2026-02-10T15:44:00Z</dcterms:created>
  <dcterms:modified xsi:type="dcterms:W3CDTF">2026-06-03T09:29:00Z</dcterms:modified>
</cp:coreProperties>
</file>