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7CAE4004" w14:textId="64D21BBB" w:rsidR="00371F1D" w:rsidRPr="00371F1D" w:rsidRDefault="00E926DF" w:rsidP="00371F1D">
      <w:pPr>
        <w:spacing w:after="240"/>
        <w:rPr>
          <w:rFonts w:cs="Arial"/>
          <w:b/>
          <w:iCs/>
          <w:sz w:val="28"/>
          <w:szCs w:val="28"/>
        </w:rPr>
      </w:pPr>
      <w:r w:rsidRPr="004511E7">
        <w:rPr>
          <w:rFonts w:cs="Arial"/>
          <w:b/>
          <w:iCs/>
          <w:sz w:val="28"/>
          <w:szCs w:val="28"/>
        </w:rPr>
        <w:t>T</w:t>
      </w:r>
      <w:r w:rsidR="00E27A29" w:rsidRPr="004511E7">
        <w:rPr>
          <w:rFonts w:cs="Arial"/>
          <w:b/>
          <w:iCs/>
          <w:sz w:val="28"/>
          <w:szCs w:val="28"/>
        </w:rPr>
        <w:t>ürkiye</w:t>
      </w:r>
      <w:r w:rsidR="00371F1D">
        <w:rPr>
          <w:rFonts w:cs="Arial"/>
          <w:b/>
          <w:iCs/>
          <w:sz w:val="28"/>
          <w:szCs w:val="28"/>
        </w:rPr>
        <w:t>:</w:t>
      </w:r>
      <w:r w:rsidR="00615DF7" w:rsidRPr="004511E7">
        <w:rPr>
          <w:rFonts w:cs="Arial"/>
          <w:b/>
          <w:iCs/>
          <w:sz w:val="28"/>
          <w:szCs w:val="28"/>
        </w:rPr>
        <w:t xml:space="preserve"> </w:t>
      </w:r>
      <w:bookmarkStart w:id="0" w:name="_Hlk69916362"/>
      <w:r w:rsidR="00371F1D" w:rsidRPr="00371F1D">
        <w:rPr>
          <w:rFonts w:cs="Arial"/>
          <w:b/>
          <w:iCs/>
          <w:sz w:val="28"/>
          <w:szCs w:val="28"/>
        </w:rPr>
        <w:t>Pour la deuxième fois, les meilleurs golfeurs amateurs d’Europe se donnent rendez-vous à Antalya pour le tournoi « 144 – A Question of Honour »</w:t>
      </w:r>
    </w:p>
    <w:p w14:paraId="18C68846" w14:textId="77777777" w:rsidR="00371F1D" w:rsidRDefault="00595751" w:rsidP="00615DF7">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DB3B41">
        <w:rPr>
          <w:rFonts w:cs="Arial"/>
          <w:b/>
          <w:iCs/>
        </w:rPr>
        <w:t>1</w:t>
      </w:r>
      <w:r w:rsidR="00371F1D">
        <w:rPr>
          <w:rFonts w:cs="Arial"/>
          <w:b/>
          <w:iCs/>
        </w:rPr>
        <w:t>2</w:t>
      </w:r>
      <w:r w:rsidR="00602ED9" w:rsidRPr="004511E7">
        <w:rPr>
          <w:rFonts w:cs="Arial"/>
          <w:b/>
          <w:iCs/>
        </w:rPr>
        <w:t>.0</w:t>
      </w:r>
      <w:r w:rsidR="00DB3B41">
        <w:rPr>
          <w:rFonts w:cs="Arial"/>
          <w:b/>
          <w:iCs/>
        </w:rPr>
        <w:t>2</w:t>
      </w:r>
      <w:r w:rsidR="00602ED9" w:rsidRPr="004511E7">
        <w:rPr>
          <w:rFonts w:cs="Arial"/>
          <w:b/>
          <w:iCs/>
        </w:rPr>
        <w:t>.2026.</w:t>
      </w:r>
      <w:r w:rsidR="00615DF7" w:rsidRPr="004511E7">
        <w:rPr>
          <w:rFonts w:cs="Arial"/>
          <w:b/>
          <w:iCs/>
        </w:rPr>
        <w:t xml:space="preserve"> </w:t>
      </w:r>
      <w:bookmarkStart w:id="1" w:name="_Hlk79760686"/>
      <w:bookmarkEnd w:id="0"/>
      <w:r w:rsidR="00371F1D" w:rsidRPr="00371F1D">
        <w:rPr>
          <w:rFonts w:cs="Arial"/>
          <w:b/>
          <w:iCs/>
        </w:rPr>
        <w:t>Antalya, hub touristique méditerranéen de Türkiye, confirme sa position de destination sportive de premier plan tout en conservant son attrait mondial pour les séjours balnéaires. Après ses débuts en Türkiye à Belek en février 2025, qui avait accueilli environ 400 joueurs, « 144 – A Question of Honour », le plus grand tournoi amateur européen de golf, est revenu cette année à Antalya avec un nombre encore plus élevé d’équipes et de participants.</w:t>
      </w:r>
    </w:p>
    <w:p w14:paraId="7592EBF4" w14:textId="77777777" w:rsidR="00371F1D" w:rsidRDefault="00371F1D" w:rsidP="00615DF7">
      <w:pPr>
        <w:spacing w:after="120" w:line="360" w:lineRule="auto"/>
        <w:jc w:val="both"/>
        <w:rPr>
          <w:rFonts w:cs="Arial"/>
          <w:bCs/>
          <w:iCs/>
        </w:rPr>
      </w:pPr>
      <w:r w:rsidRPr="00371F1D">
        <w:rPr>
          <w:rFonts w:cs="Arial"/>
          <w:bCs/>
          <w:iCs/>
        </w:rPr>
        <w:t>L’édition 2026, qui s’est déroulée du 4 au 8 février sous l’égide de GoTürkiye, a rassemblé plus de 500 golfeurs répartis en 60 équipes venant de 9 pays différents. Les compétitions ont eu lieu sur certains des parcours les plus prestigieux de la région, notamment le Carya Golf Club, le Olympos Golf Course, le Aspendos Golf Course, le Faldo Golf Course et le National Golf Course.</w:t>
      </w:r>
    </w:p>
    <w:p w14:paraId="6C659BEA" w14:textId="77777777" w:rsidR="00371F1D" w:rsidRDefault="00371F1D" w:rsidP="006E3DFA">
      <w:pPr>
        <w:spacing w:after="120" w:line="360" w:lineRule="auto"/>
        <w:jc w:val="both"/>
        <w:rPr>
          <w:rFonts w:cs="Arial"/>
          <w:b/>
          <w:bCs/>
        </w:rPr>
      </w:pPr>
      <w:r w:rsidRPr="00371F1D">
        <w:rPr>
          <w:rFonts w:cs="Arial"/>
          <w:b/>
          <w:bCs/>
        </w:rPr>
        <w:t>Matchplay par équipes sur la Riviera turque</w:t>
      </w:r>
    </w:p>
    <w:p w14:paraId="48E9D44D" w14:textId="77777777" w:rsidR="00371F1D" w:rsidRPr="00371F1D" w:rsidRDefault="00371F1D" w:rsidP="00371F1D">
      <w:pPr>
        <w:spacing w:after="240" w:line="360" w:lineRule="auto"/>
        <w:jc w:val="both"/>
        <w:rPr>
          <w:rFonts w:cs="Arial"/>
        </w:rPr>
      </w:pPr>
      <w:r w:rsidRPr="00371F1D">
        <w:rPr>
          <w:rFonts w:cs="Arial"/>
        </w:rPr>
        <w:t>Depuis sa création en 2016 à Bad Griesbach, en Allemagne, « 144 – A Question of Honour » s’est imposé comme l’un des principaux tournois européens de golf amateur, rassemblant des joueurs de plus de 20 pays et se déroulant chaque année dans quatre pays hôtes différents. Conçu comme un tournoi de matchplay par équipes, il va au-delà de la simple compétition en combinant performances de haut niveau et valeurs essentielles du golf – intégrité, respect et esprit de communauté.</w:t>
      </w:r>
    </w:p>
    <w:p w14:paraId="298834F5" w14:textId="4D825980" w:rsidR="000324BC" w:rsidRPr="004511E7" w:rsidRDefault="00371F1D" w:rsidP="00371F1D">
      <w:pPr>
        <w:spacing w:line="360" w:lineRule="auto"/>
        <w:jc w:val="both"/>
        <w:rPr>
          <w:rFonts w:cs="Arial"/>
          <w:b/>
          <w:bCs/>
        </w:rPr>
      </w:pPr>
      <w:r w:rsidRPr="00371F1D">
        <w:rPr>
          <w:rFonts w:cs="Arial"/>
        </w:rPr>
        <w:t>Souvent qualifié de « Ryder Cup des amateurs », cet événement de trois jours oppose des équipes de huit joueurs et un capitaine, avec des matches organisés en simples et en fourballs stratégiques. En plaçant les résultats par équipe au cœur de la compétition, le format met en avant la coopération, la stratégie et le jeu direct, faisant de chaque édition une expérience unique.</w:t>
      </w:r>
    </w:p>
    <w:p w14:paraId="33CA4B48" w14:textId="77777777" w:rsidR="006E3DFA" w:rsidRDefault="006E3DFA" w:rsidP="00401850">
      <w:pPr>
        <w:spacing w:line="360" w:lineRule="auto"/>
        <w:jc w:val="both"/>
        <w:rPr>
          <w:rFonts w:cs="Arial"/>
          <w:b/>
          <w:bCs/>
        </w:rPr>
      </w:pPr>
    </w:p>
    <w:p w14:paraId="0B772D17" w14:textId="77777777" w:rsidR="00371F1D" w:rsidRDefault="00371F1D" w:rsidP="00401850">
      <w:pPr>
        <w:spacing w:line="360" w:lineRule="auto"/>
        <w:jc w:val="both"/>
        <w:rPr>
          <w:rFonts w:cs="Arial"/>
          <w:b/>
          <w:bCs/>
        </w:rPr>
      </w:pPr>
    </w:p>
    <w:p w14:paraId="6422D0C2" w14:textId="77777777" w:rsidR="00371F1D" w:rsidRDefault="00371F1D" w:rsidP="00401850">
      <w:pPr>
        <w:spacing w:line="360" w:lineRule="auto"/>
        <w:jc w:val="both"/>
        <w:rPr>
          <w:rFonts w:cs="Arial"/>
          <w:b/>
          <w:bCs/>
        </w:rPr>
      </w:pPr>
    </w:p>
    <w:p w14:paraId="3768E845" w14:textId="77777777" w:rsidR="00371F1D" w:rsidRPr="004511E7" w:rsidRDefault="00371F1D" w:rsidP="00401850">
      <w:pPr>
        <w:spacing w:line="360" w:lineRule="auto"/>
        <w:jc w:val="both"/>
        <w:rPr>
          <w:rFonts w:cs="Arial"/>
          <w:b/>
          <w:bCs/>
        </w:rPr>
      </w:pPr>
    </w:p>
    <w:p w14:paraId="4B4DAC78" w14:textId="24F8B742" w:rsidR="000324BC" w:rsidRDefault="00371F1D" w:rsidP="00DF048B">
      <w:pPr>
        <w:spacing w:after="120" w:line="360" w:lineRule="auto"/>
        <w:jc w:val="both"/>
        <w:rPr>
          <w:rFonts w:cs="Arial"/>
          <w:b/>
          <w:bCs/>
        </w:rPr>
      </w:pPr>
      <w:r w:rsidRPr="00371F1D">
        <w:rPr>
          <w:rFonts w:cs="Arial"/>
          <w:b/>
          <w:bCs/>
        </w:rPr>
        <w:lastRenderedPageBreak/>
        <w:t>Belek : Soleil, panoramas et parcours d’exception</w:t>
      </w:r>
    </w:p>
    <w:p w14:paraId="6339900C" w14:textId="77777777" w:rsidR="00371F1D" w:rsidRPr="00371F1D" w:rsidRDefault="00371F1D" w:rsidP="00371F1D">
      <w:pPr>
        <w:spacing w:after="120" w:line="360" w:lineRule="auto"/>
        <w:jc w:val="both"/>
        <w:rPr>
          <w:rFonts w:cs="Arial"/>
        </w:rPr>
      </w:pPr>
      <w:r w:rsidRPr="00371F1D">
        <w:rPr>
          <w:rFonts w:cs="Arial"/>
        </w:rPr>
        <w:t>Avec son climat magnifique et ses paysages naturels époustouflants, la région de Belek, à Antalya, reste incomparable, combinant à la perfection des services hôteliers haut de gamme et des expériences de golf de classe mondiale. Bénéficiant de près de 300 jours de soleil par an, elle offre la rare opportunité de jouer au golf presque toute l’année, avec des parcours praticables jusqu’à dix mois.</w:t>
      </w:r>
    </w:p>
    <w:p w14:paraId="3257F779" w14:textId="77777777" w:rsidR="00371F1D" w:rsidRPr="00371F1D" w:rsidRDefault="00371F1D" w:rsidP="00371F1D">
      <w:pPr>
        <w:spacing w:after="120" w:line="360" w:lineRule="auto"/>
        <w:jc w:val="both"/>
        <w:rPr>
          <w:rFonts w:cs="Arial"/>
        </w:rPr>
      </w:pPr>
      <w:r w:rsidRPr="00371F1D">
        <w:rPr>
          <w:rFonts w:cs="Arial"/>
        </w:rPr>
        <w:t>La diversité des parcours de Belek est impressionnante : des designs classiques de type heathland aux complexes internationaux conçus par des joueurs de renom. Ces parcours de niveau championnat allient challenge, prestige et variété, faisant de Belek un cadre idéal pour des tournois prestigieux tels que le Turkish Airlines World Golf Cup, la Turkish Airlines Challenge et la Turkish Airlines Open, l’un des huit tournois de la PGA European Tour Series.</w:t>
      </w:r>
    </w:p>
    <w:p w14:paraId="7E7B62A7" w14:textId="73BDB1FF" w:rsidR="00371F1D" w:rsidRPr="00371F1D" w:rsidRDefault="00371F1D" w:rsidP="00371F1D">
      <w:pPr>
        <w:spacing w:after="120" w:line="360" w:lineRule="auto"/>
        <w:jc w:val="both"/>
        <w:rPr>
          <w:rFonts w:cs="Arial"/>
        </w:rPr>
      </w:pPr>
      <w:r w:rsidRPr="00371F1D">
        <w:rPr>
          <w:rFonts w:cs="Arial"/>
        </w:rPr>
        <w:t>À cela s’ajoute la proximité des hôtels et des parcours avec l’aéroport d’Antalya, assurant un accès facile pour les visiteurs internationaux. Certains parcours disposent même d’un éclairage sophistiqué, offrant aux golfeurs l’expérience unique de jouer de nuit. Grâce à ses parcours exceptionnels, ses infrastructures de qualité et ses opportunités de golf nocturne, Belek figure régulièrement parmi les meilleures destinations de golf au monde.</w:t>
      </w:r>
    </w:p>
    <w:p w14:paraId="2E4EFF92" w14:textId="77777777" w:rsidR="006E3DFA" w:rsidRPr="004511E7" w:rsidRDefault="006E3DFA" w:rsidP="00602ED9">
      <w:pPr>
        <w:spacing w:after="120" w:line="360" w:lineRule="auto"/>
        <w:jc w:val="both"/>
        <w:rPr>
          <w:rFonts w:eastAsia="Times New Roman" w:cs="Arial"/>
        </w:rPr>
      </w:pPr>
    </w:p>
    <w:p w14:paraId="2156AD06" w14:textId="15D9138D"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4511E7">
          <w:rPr>
            <w:rStyle w:val="Hyperlink"/>
            <w:rFonts w:eastAsia="Times New Roman" w:cs="Arial"/>
            <w:b/>
            <w:bCs/>
          </w:rPr>
          <w:t>ic</w:t>
        </w:r>
        <w:r w:rsidRPr="004511E7">
          <w:rPr>
            <w:rStyle w:val="Hyperlink"/>
            <w:rFonts w:eastAsia="Times New Roman" w:cs="Arial"/>
            <w:b/>
            <w:bCs/>
          </w:rPr>
          <w:t>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1"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4"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w:t>
      </w:r>
      <w:r w:rsidRPr="00650728">
        <w:rPr>
          <w:rFonts w:cs="Arial"/>
          <w:sz w:val="16"/>
          <w:szCs w:val="16"/>
        </w:rPr>
        <w:lastRenderedPageBreak/>
        <w:t xml:space="preserve">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68B8" w14:textId="77777777" w:rsidR="004B2B4E" w:rsidRPr="004511E7" w:rsidRDefault="004B2B4E" w:rsidP="004B1BAE">
      <w:r w:rsidRPr="004511E7">
        <w:separator/>
      </w:r>
    </w:p>
  </w:endnote>
  <w:endnote w:type="continuationSeparator" w:id="0">
    <w:p w14:paraId="30B251B4" w14:textId="77777777" w:rsidR="004B2B4E" w:rsidRPr="004511E7" w:rsidRDefault="004B2B4E"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A349" w14:textId="77777777" w:rsidR="004B2B4E" w:rsidRPr="004511E7" w:rsidRDefault="004B2B4E" w:rsidP="004B1BAE">
      <w:r w:rsidRPr="004511E7">
        <w:separator/>
      </w:r>
    </w:p>
  </w:footnote>
  <w:footnote w:type="continuationSeparator" w:id="0">
    <w:p w14:paraId="2F5A2FE8" w14:textId="77777777" w:rsidR="004B2B4E" w:rsidRPr="004511E7" w:rsidRDefault="004B2B4E"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1F1D"/>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2B4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387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OxDFBmdqnp"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698</Words>
  <Characters>4404</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5092</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18</cp:revision>
  <cp:lastPrinted>2020-08-21T12:32:00Z</cp:lastPrinted>
  <dcterms:created xsi:type="dcterms:W3CDTF">2026-02-10T15:44:00Z</dcterms:created>
  <dcterms:modified xsi:type="dcterms:W3CDTF">2026-03-05T08:53:00Z</dcterms:modified>
</cp:coreProperties>
</file>