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7777777"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Medienmitteilung</w:t>
      </w:r>
    </w:p>
    <w:p w14:paraId="3209BB57" w14:textId="642E1733" w:rsidR="00412D1C" w:rsidRPr="00D42058" w:rsidRDefault="00F72C67" w:rsidP="00D42058">
      <w:pPr>
        <w:spacing w:after="120" w:line="360" w:lineRule="auto"/>
        <w:jc w:val="both"/>
        <w:rPr>
          <w:rFonts w:ascii="Arial" w:eastAsia="Calibri" w:hAnsi="Arial" w:cs="Arial"/>
          <w:b/>
          <w:iCs/>
          <w:sz w:val="28"/>
          <w:szCs w:val="28"/>
          <w:lang w:val="de-CH"/>
        </w:rPr>
      </w:pPr>
      <w:r w:rsidRPr="00D42058">
        <w:rPr>
          <w:rFonts w:ascii="Arial" w:eastAsia="Calibri" w:hAnsi="Arial" w:cs="Arial"/>
          <w:b/>
          <w:iCs/>
          <w:sz w:val="28"/>
          <w:szCs w:val="28"/>
          <w:lang w:val="de-CH"/>
        </w:rPr>
        <w:t xml:space="preserve">Türkiye: </w:t>
      </w:r>
      <w:r w:rsidR="00412D1C" w:rsidRPr="00D42058">
        <w:rPr>
          <w:rFonts w:ascii="Arial" w:eastAsia="Calibri" w:hAnsi="Arial" w:cs="Arial"/>
          <w:b/>
          <w:iCs/>
          <w:sz w:val="28"/>
          <w:szCs w:val="28"/>
          <w:lang w:val="de-CH"/>
        </w:rPr>
        <w:t xml:space="preserve">Die </w:t>
      </w:r>
      <w:r w:rsidR="00AE4C22" w:rsidRPr="00D42058">
        <w:rPr>
          <w:rFonts w:ascii="Arial" w:eastAsia="Calibri" w:hAnsi="Arial" w:cs="Arial"/>
          <w:b/>
          <w:iCs/>
          <w:sz w:val="28"/>
          <w:szCs w:val="28"/>
          <w:lang w:val="de-CH"/>
        </w:rPr>
        <w:t>Türkiye</w:t>
      </w:r>
      <w:r w:rsidR="00412D1C" w:rsidRPr="00D42058">
        <w:rPr>
          <w:rFonts w:ascii="Arial" w:eastAsia="Calibri" w:hAnsi="Arial" w:cs="Arial"/>
          <w:b/>
          <w:iCs/>
          <w:sz w:val="28"/>
          <w:szCs w:val="28"/>
          <w:lang w:val="de-CH"/>
        </w:rPr>
        <w:t xml:space="preserve"> gab ihre Tourismuszahlen für 2025 bekannt</w:t>
      </w:r>
      <w:r w:rsidR="00D42058">
        <w:rPr>
          <w:rFonts w:ascii="Arial" w:eastAsia="Calibri" w:hAnsi="Arial" w:cs="Arial"/>
          <w:b/>
          <w:iCs/>
          <w:sz w:val="28"/>
          <w:szCs w:val="28"/>
          <w:lang w:val="de-CH"/>
        </w:rPr>
        <w:t xml:space="preserve"> </w:t>
      </w:r>
    </w:p>
    <w:p w14:paraId="4CD1B7CB" w14:textId="1B4EA7F1" w:rsidR="00421300" w:rsidRPr="00FF3EB5" w:rsidRDefault="005626E4" w:rsidP="00D42058">
      <w:pPr>
        <w:spacing w:after="120" w:line="360" w:lineRule="auto"/>
        <w:jc w:val="both"/>
        <w:rPr>
          <w:rFonts w:ascii="Arial" w:eastAsia="Calibri" w:hAnsi="Arial" w:cs="Arial"/>
          <w:b/>
          <w:bCs/>
          <w:lang w:val="fr-CH"/>
        </w:rPr>
      </w:pPr>
      <w:r w:rsidRPr="00FF3EB5">
        <w:rPr>
          <w:rFonts w:ascii="Arial" w:eastAsia="Calibri" w:hAnsi="Arial" w:cs="Arial"/>
          <w:b/>
          <w:bCs/>
          <w:lang w:val="fr-CH"/>
        </w:rPr>
        <w:t>Bern</w:t>
      </w:r>
      <w:r w:rsidR="00F72C67" w:rsidRPr="00FF3EB5">
        <w:rPr>
          <w:rFonts w:ascii="Arial" w:eastAsia="Calibri" w:hAnsi="Arial" w:cs="Arial"/>
          <w:b/>
          <w:bCs/>
          <w:lang w:val="fr-CH"/>
        </w:rPr>
        <w:t xml:space="preserve"> / Istanbul, </w:t>
      </w:r>
      <w:r w:rsidR="00D42058" w:rsidRPr="00FF3EB5">
        <w:rPr>
          <w:rFonts w:ascii="Arial" w:eastAsia="Calibri" w:hAnsi="Arial" w:cs="Arial"/>
          <w:b/>
          <w:bCs/>
          <w:lang w:val="fr-CH"/>
        </w:rPr>
        <w:t>18</w:t>
      </w:r>
      <w:r w:rsidR="009E7522" w:rsidRPr="00FF3EB5">
        <w:rPr>
          <w:rFonts w:ascii="Arial" w:eastAsia="Calibri" w:hAnsi="Arial" w:cs="Arial"/>
          <w:b/>
          <w:bCs/>
          <w:lang w:val="fr-CH"/>
        </w:rPr>
        <w:t>.</w:t>
      </w:r>
      <w:r w:rsidR="00F72C67" w:rsidRPr="00FF3EB5">
        <w:rPr>
          <w:rFonts w:ascii="Arial" w:eastAsia="Calibri" w:hAnsi="Arial" w:cs="Arial"/>
          <w:b/>
          <w:bCs/>
          <w:lang w:val="fr-CH"/>
        </w:rPr>
        <w:t>0</w:t>
      </w:r>
      <w:r w:rsidR="00D42058" w:rsidRPr="00FF3EB5">
        <w:rPr>
          <w:rFonts w:ascii="Arial" w:eastAsia="Calibri" w:hAnsi="Arial" w:cs="Arial"/>
          <w:b/>
          <w:bCs/>
          <w:lang w:val="fr-CH"/>
        </w:rPr>
        <w:t>2</w:t>
      </w:r>
      <w:r w:rsidR="009E7522" w:rsidRPr="00FF3EB5">
        <w:rPr>
          <w:rFonts w:ascii="Arial" w:eastAsia="Calibri" w:hAnsi="Arial" w:cs="Arial"/>
          <w:b/>
          <w:bCs/>
          <w:lang w:val="fr-CH"/>
        </w:rPr>
        <w:t>.</w:t>
      </w:r>
      <w:r w:rsidRPr="00FF3EB5">
        <w:rPr>
          <w:rFonts w:ascii="Arial" w:eastAsia="Calibri" w:hAnsi="Arial" w:cs="Arial"/>
          <w:b/>
          <w:bCs/>
          <w:lang w:val="fr-CH"/>
        </w:rPr>
        <w:t>202</w:t>
      </w:r>
      <w:r w:rsidR="00F72C67" w:rsidRPr="00FF3EB5">
        <w:rPr>
          <w:rFonts w:ascii="Arial" w:eastAsia="Calibri" w:hAnsi="Arial" w:cs="Arial"/>
          <w:b/>
          <w:bCs/>
          <w:lang w:val="fr-CH"/>
        </w:rPr>
        <w:t>6</w:t>
      </w:r>
      <w:r w:rsidR="00D42058" w:rsidRPr="00FF3EB5">
        <w:rPr>
          <w:rFonts w:ascii="Arial" w:eastAsia="Calibri" w:hAnsi="Arial" w:cs="Arial"/>
          <w:b/>
          <w:bCs/>
          <w:lang w:val="fr-CH"/>
        </w:rPr>
        <w:t>: Mit 64 Millionen Besuchenden erzielte das Land Tourismuseinnahmen in Höhe von 65 Milliarden US-Dollar und erreichte damit einen neuen Rekordwert</w:t>
      </w:r>
      <w:r w:rsidR="00D42058" w:rsidRPr="00FF3EB5">
        <w:rPr>
          <w:rFonts w:ascii="Arial" w:eastAsia="Calibri" w:hAnsi="Arial" w:cs="Arial"/>
          <w:b/>
          <w:bCs/>
          <w:lang w:val="fr-CH"/>
        </w:rPr>
        <w:t xml:space="preserve">. </w:t>
      </w:r>
      <w:r w:rsidR="00412D1C" w:rsidRPr="00FF3EB5">
        <w:rPr>
          <w:rFonts w:ascii="Arial" w:eastAsia="Calibri" w:hAnsi="Arial" w:cs="Arial"/>
          <w:b/>
          <w:bCs/>
          <w:lang w:val="fr-CH"/>
        </w:rPr>
        <w:t>Der türkische Minister für Kultur und Tourismus, Mehmet Nuri Ersoy, gab auf einer Pressekonferenz in Istanbul die Tourismuszahlen des Landes für 2025 bekannt. Minister Ersoy gab bekannt, dass die Zahl der Besuche</w:t>
      </w:r>
      <w:r w:rsidR="00FE3D04" w:rsidRPr="00FF3EB5">
        <w:rPr>
          <w:rFonts w:ascii="Arial" w:eastAsia="Calibri" w:hAnsi="Arial" w:cs="Arial"/>
          <w:b/>
          <w:bCs/>
          <w:lang w:val="fr-CH"/>
        </w:rPr>
        <w:t>nden</w:t>
      </w:r>
      <w:r w:rsidR="00412D1C" w:rsidRPr="00FF3EB5">
        <w:rPr>
          <w:rFonts w:ascii="Arial" w:eastAsia="Calibri" w:hAnsi="Arial" w:cs="Arial"/>
          <w:b/>
          <w:bCs/>
          <w:lang w:val="fr-CH"/>
        </w:rPr>
        <w:t xml:space="preserve"> in der </w:t>
      </w:r>
      <w:r w:rsidR="00AE4C22" w:rsidRPr="00FF3EB5">
        <w:rPr>
          <w:rFonts w:ascii="Arial" w:eastAsia="Calibri" w:hAnsi="Arial" w:cs="Arial"/>
          <w:b/>
          <w:bCs/>
          <w:lang w:val="fr-CH"/>
        </w:rPr>
        <w:t>Türkiye</w:t>
      </w:r>
      <w:r w:rsidR="00412D1C" w:rsidRPr="00FF3EB5">
        <w:rPr>
          <w:rFonts w:ascii="Arial" w:eastAsia="Calibri" w:hAnsi="Arial" w:cs="Arial"/>
          <w:b/>
          <w:bCs/>
          <w:lang w:val="fr-CH"/>
        </w:rPr>
        <w:t xml:space="preserve"> im Jahr 2025 bei 64 Millionen liegen wird, und</w:t>
      </w:r>
      <w:r w:rsidR="00FE3D04" w:rsidRPr="00FF3EB5">
        <w:rPr>
          <w:rFonts w:ascii="Arial" w:eastAsia="Calibri" w:hAnsi="Arial" w:cs="Arial"/>
          <w:b/>
          <w:bCs/>
          <w:lang w:val="fr-CH"/>
        </w:rPr>
        <w:t xml:space="preserve"> verkündete </w:t>
      </w:r>
      <w:r w:rsidR="00412D1C" w:rsidRPr="00FF3EB5">
        <w:rPr>
          <w:rFonts w:ascii="Arial" w:eastAsia="Calibri" w:hAnsi="Arial" w:cs="Arial"/>
          <w:b/>
          <w:bCs/>
          <w:lang w:val="fr-CH"/>
        </w:rPr>
        <w:t>au</w:t>
      </w:r>
      <w:r w:rsidR="00FE3D04" w:rsidRPr="00FF3EB5">
        <w:rPr>
          <w:rFonts w:ascii="Arial" w:eastAsia="Calibri" w:hAnsi="Arial" w:cs="Arial"/>
          <w:b/>
          <w:bCs/>
          <w:lang w:val="fr-CH"/>
        </w:rPr>
        <w:t>ss</w:t>
      </w:r>
      <w:r w:rsidR="00412D1C" w:rsidRPr="00FF3EB5">
        <w:rPr>
          <w:rFonts w:ascii="Arial" w:eastAsia="Calibri" w:hAnsi="Arial" w:cs="Arial"/>
          <w:b/>
          <w:bCs/>
          <w:lang w:val="fr-CH"/>
        </w:rPr>
        <w:t xml:space="preserve">erdem die Tourismuseinnahmen des letzten Jahres mit 65 Milliarden </w:t>
      </w:r>
      <w:r w:rsidR="00FE3D04" w:rsidRPr="00FF3EB5">
        <w:rPr>
          <w:rFonts w:ascii="Arial" w:eastAsia="Calibri" w:hAnsi="Arial" w:cs="Arial"/>
          <w:b/>
          <w:bCs/>
          <w:lang w:val="fr-CH"/>
        </w:rPr>
        <w:t xml:space="preserve">und </w:t>
      </w:r>
      <w:r w:rsidR="00412D1C" w:rsidRPr="00FF3EB5">
        <w:rPr>
          <w:rFonts w:ascii="Arial" w:eastAsia="Calibri" w:hAnsi="Arial" w:cs="Arial"/>
          <w:b/>
          <w:bCs/>
          <w:lang w:val="fr-CH"/>
        </w:rPr>
        <w:t>231 Millionen US-Dollar.</w:t>
      </w:r>
    </w:p>
    <w:p w14:paraId="72F4E321" w14:textId="4344C04B" w:rsidR="00412D1C" w:rsidRPr="00D42058" w:rsidRDefault="00412D1C" w:rsidP="00D42058">
      <w:pPr>
        <w:spacing w:after="120" w:line="360" w:lineRule="auto"/>
        <w:jc w:val="both"/>
        <w:rPr>
          <w:rFonts w:ascii="Arial" w:eastAsia="Calibri" w:hAnsi="Arial" w:cs="Arial"/>
          <w:b/>
          <w:bCs/>
          <w:lang w:val="fr-CH"/>
        </w:rPr>
      </w:pPr>
      <w:r w:rsidRPr="00D42058">
        <w:rPr>
          <w:rFonts w:ascii="Arial" w:eastAsia="Calibri" w:hAnsi="Arial" w:cs="Arial"/>
          <w:b/>
          <w:bCs/>
          <w:lang w:val="fr-CH"/>
        </w:rPr>
        <w:t xml:space="preserve">Ersoy sagte: </w:t>
      </w:r>
      <w:r w:rsidR="00F75D30" w:rsidRPr="00D42058">
        <w:rPr>
          <w:rFonts w:ascii="Arial" w:eastAsia="Calibri" w:hAnsi="Arial" w:cs="Arial"/>
          <w:b/>
          <w:bCs/>
          <w:lang w:val="fr-CH"/>
        </w:rPr>
        <w:t>«</w:t>
      </w:r>
      <w:r w:rsidRPr="00D42058">
        <w:rPr>
          <w:rFonts w:ascii="Arial" w:eastAsia="Calibri" w:hAnsi="Arial" w:cs="Arial"/>
          <w:b/>
          <w:bCs/>
          <w:lang w:val="fr-CH"/>
        </w:rPr>
        <w:t>Wir streben für 2026 ein Ziel von 68 Milliarden Dollar an.</w:t>
      </w:r>
      <w:r w:rsidR="00F75D30" w:rsidRPr="00D42058">
        <w:rPr>
          <w:rFonts w:ascii="Arial" w:eastAsia="Calibri" w:hAnsi="Arial" w:cs="Arial"/>
          <w:b/>
          <w:bCs/>
          <w:lang w:val="fr-CH"/>
        </w:rPr>
        <w:t>»</w:t>
      </w:r>
    </w:p>
    <w:p w14:paraId="612CD7F4" w14:textId="58B848B0" w:rsidR="00412D1C" w:rsidRDefault="00412D1C" w:rsidP="00CD6BA4">
      <w:pPr>
        <w:spacing w:after="120" w:line="360" w:lineRule="auto"/>
        <w:jc w:val="both"/>
        <w:rPr>
          <w:rFonts w:ascii="Arial" w:eastAsia="Calibri" w:hAnsi="Arial" w:cs="Arial"/>
        </w:rPr>
      </w:pPr>
      <w:r w:rsidRPr="00412D1C">
        <w:rPr>
          <w:rFonts w:ascii="Arial" w:eastAsia="Calibri" w:hAnsi="Arial" w:cs="Arial"/>
        </w:rPr>
        <w:t xml:space="preserve">Minister Ersoy betonte, dass der türkische Tourismus laut Daten der Welttourismusorganisation der Vereinten Nationen mittlerweile nicht nur auf regionaler, sondern auch auf globaler Ebene eine wichtige Rolle spielt. Er erinnerte daran, dass die </w:t>
      </w:r>
      <w:r w:rsidR="00AE4C22">
        <w:rPr>
          <w:rFonts w:ascii="Arial" w:eastAsia="Calibri" w:hAnsi="Arial" w:cs="Arial"/>
        </w:rPr>
        <w:t>Türkiye</w:t>
      </w:r>
      <w:r w:rsidRPr="00412D1C">
        <w:rPr>
          <w:rFonts w:ascii="Arial" w:eastAsia="Calibri" w:hAnsi="Arial" w:cs="Arial"/>
        </w:rPr>
        <w:t xml:space="preserve"> 2017 unter den Ländern mit den meisten Touristen weltweit den 8. Platz belegte, bis 2024 jedoch auf den 4. Platz aufgestiegen war. Ersoy merkte au</w:t>
      </w:r>
      <w:r w:rsidR="00FE3D04">
        <w:rPr>
          <w:rFonts w:ascii="Arial" w:eastAsia="Calibri" w:hAnsi="Arial" w:cs="Arial"/>
        </w:rPr>
        <w:t>ss</w:t>
      </w:r>
      <w:r w:rsidRPr="00412D1C">
        <w:rPr>
          <w:rFonts w:ascii="Arial" w:eastAsia="Calibri" w:hAnsi="Arial" w:cs="Arial"/>
        </w:rPr>
        <w:t xml:space="preserve">erdem an, dass die </w:t>
      </w:r>
      <w:r w:rsidR="00AE4C22">
        <w:rPr>
          <w:rFonts w:ascii="Arial" w:eastAsia="Calibri" w:hAnsi="Arial" w:cs="Arial"/>
        </w:rPr>
        <w:t>Türkiye</w:t>
      </w:r>
      <w:r w:rsidRPr="00412D1C">
        <w:rPr>
          <w:rFonts w:ascii="Arial" w:eastAsia="Calibri" w:hAnsi="Arial" w:cs="Arial"/>
        </w:rPr>
        <w:t xml:space="preserve"> in Bezug auf die Tourismuseinnahmen 2017 auf Platz 15 lag, bis 2024 jedoch auf Platz 7 geklettert war, und gab ein Ziel von 68 Milliarden US-Dollar für 2026 bekannt.</w:t>
      </w:r>
    </w:p>
    <w:p w14:paraId="51EEA5D6" w14:textId="19418B23" w:rsidR="004D45B8" w:rsidRDefault="00412D1C" w:rsidP="00F72C67">
      <w:pPr>
        <w:spacing w:after="120" w:line="360" w:lineRule="auto"/>
        <w:jc w:val="both"/>
        <w:rPr>
          <w:rFonts w:ascii="Arial" w:hAnsi="Arial" w:cs="Arial"/>
          <w:lang w:val="de-CH"/>
        </w:rPr>
      </w:pPr>
      <w:r w:rsidRPr="00412D1C">
        <w:rPr>
          <w:rFonts w:ascii="Arial" w:hAnsi="Arial" w:cs="Arial"/>
          <w:lang w:val="de-CH"/>
        </w:rPr>
        <w:t xml:space="preserve">Minister Ersoy erklärte, dass die </w:t>
      </w:r>
      <w:r w:rsidR="00AE4C22">
        <w:rPr>
          <w:rFonts w:ascii="Arial" w:hAnsi="Arial" w:cs="Arial"/>
          <w:lang w:val="de-CH"/>
        </w:rPr>
        <w:t>Türkiye</w:t>
      </w:r>
      <w:r w:rsidRPr="00412D1C">
        <w:rPr>
          <w:rFonts w:ascii="Arial" w:hAnsi="Arial" w:cs="Arial"/>
          <w:lang w:val="de-CH"/>
        </w:rPr>
        <w:t xml:space="preserve"> inzwischen über ausgeprägte Reflexe und fundierte Erfahrungen im Krisenmanagement verfügt, und wies darauf hin, dass der türkische Tourismussektor sich über den reinen Strand-, Sand- und Sonnentourismus hinaus entwickelt hat. In vielen Bereichen wie Kultur- und Glaubenstourismus, Natur- und Ökotourismus, Archäologie, Gesundheits- und Thermaltourismus, Gastronomie, Kongress- und Messetourismus, Kreuzfahrttourismus und Wintertourismus nimmt die Vielfalt zu.</w:t>
      </w:r>
    </w:p>
    <w:p w14:paraId="5C5DF23E" w14:textId="7935298D" w:rsidR="00412D1C" w:rsidRDefault="00412D1C" w:rsidP="00F72C67">
      <w:pPr>
        <w:spacing w:after="120" w:line="360" w:lineRule="auto"/>
        <w:jc w:val="both"/>
        <w:rPr>
          <w:rFonts w:ascii="Arial" w:hAnsi="Arial" w:cs="Arial"/>
          <w:lang w:val="de-CH"/>
        </w:rPr>
      </w:pPr>
      <w:r w:rsidRPr="00412D1C">
        <w:rPr>
          <w:rFonts w:ascii="Arial" w:hAnsi="Arial" w:cs="Arial"/>
          <w:lang w:val="de-CH"/>
        </w:rPr>
        <w:t xml:space="preserve">Minister Ersoy erklärte, dass die Vision </w:t>
      </w:r>
      <w:r w:rsidR="00FE3D04">
        <w:rPr>
          <w:rFonts w:ascii="Arial" w:hAnsi="Arial" w:cs="Arial"/>
          <w:lang w:val="de-CH"/>
        </w:rPr>
        <w:t>«</w:t>
      </w:r>
      <w:r w:rsidRPr="00412D1C">
        <w:rPr>
          <w:rFonts w:ascii="Arial" w:hAnsi="Arial" w:cs="Arial"/>
          <w:lang w:val="de-CH"/>
        </w:rPr>
        <w:t>Erbe für die Zukunft</w:t>
      </w:r>
      <w:r w:rsidR="00FE3D04">
        <w:rPr>
          <w:rFonts w:ascii="Arial" w:hAnsi="Arial" w:cs="Arial"/>
          <w:lang w:val="de-CH"/>
        </w:rPr>
        <w:t>»</w:t>
      </w:r>
      <w:r w:rsidRPr="00412D1C">
        <w:rPr>
          <w:rFonts w:ascii="Arial" w:hAnsi="Arial" w:cs="Arial"/>
          <w:lang w:val="de-CH"/>
        </w:rPr>
        <w:t xml:space="preserve"> und die Nachtmuseum-Projekte zu den wenigen Errungenschaften weltweit zählen, die nur eine begrenzte Anzahl von Ländern erreichen kann, und dass die </w:t>
      </w:r>
      <w:r w:rsidR="00AE4C22">
        <w:rPr>
          <w:rFonts w:ascii="Arial" w:hAnsi="Arial" w:cs="Arial"/>
          <w:lang w:val="de-CH"/>
        </w:rPr>
        <w:t>Türkiye</w:t>
      </w:r>
      <w:r w:rsidRPr="00412D1C">
        <w:rPr>
          <w:rFonts w:ascii="Arial" w:hAnsi="Arial" w:cs="Arial"/>
          <w:lang w:val="de-CH"/>
        </w:rPr>
        <w:t xml:space="preserve"> zu einem der erfolgreichsten Beispiele in diesem Bereich geworden ist. Ersoy hob hervor, dass das in der Werbestrategie verwendete </w:t>
      </w:r>
      <w:r w:rsidR="00FE3D04">
        <w:rPr>
          <w:rFonts w:ascii="Arial" w:hAnsi="Arial" w:cs="Arial"/>
          <w:lang w:val="de-CH"/>
        </w:rPr>
        <w:t>«</w:t>
      </w:r>
      <w:r w:rsidRPr="00412D1C">
        <w:rPr>
          <w:rFonts w:ascii="Arial" w:hAnsi="Arial" w:cs="Arial"/>
          <w:lang w:val="de-CH"/>
        </w:rPr>
        <w:t>Miniserien-Modell</w:t>
      </w:r>
      <w:r w:rsidR="00FE3D04">
        <w:rPr>
          <w:rFonts w:ascii="Arial" w:hAnsi="Arial" w:cs="Arial"/>
          <w:lang w:val="de-CH"/>
        </w:rPr>
        <w:t>»</w:t>
      </w:r>
      <w:r w:rsidRPr="00412D1C">
        <w:rPr>
          <w:rFonts w:ascii="Arial" w:hAnsi="Arial" w:cs="Arial"/>
          <w:lang w:val="de-CH"/>
        </w:rPr>
        <w:t xml:space="preserve"> auch weltweit gro</w:t>
      </w:r>
      <w:r>
        <w:rPr>
          <w:rFonts w:ascii="Arial" w:hAnsi="Arial" w:cs="Arial"/>
          <w:lang w:val="de-CH"/>
        </w:rPr>
        <w:t>ss</w:t>
      </w:r>
      <w:r w:rsidRPr="00412D1C">
        <w:rPr>
          <w:rFonts w:ascii="Arial" w:hAnsi="Arial" w:cs="Arial"/>
          <w:lang w:val="de-CH"/>
        </w:rPr>
        <w:t xml:space="preserve">en Erfolg habe, und wies darauf hin, dass eine einzelne Folge der Serie </w:t>
      </w:r>
      <w:r w:rsidR="00FE3D04">
        <w:rPr>
          <w:rFonts w:ascii="Arial" w:hAnsi="Arial" w:cs="Arial"/>
          <w:lang w:val="de-CH"/>
        </w:rPr>
        <w:t>«</w:t>
      </w:r>
      <w:r w:rsidRPr="00412D1C">
        <w:rPr>
          <w:rFonts w:ascii="Arial" w:hAnsi="Arial" w:cs="Arial"/>
          <w:lang w:val="de-CH"/>
        </w:rPr>
        <w:t>An Istanbul Story</w:t>
      </w:r>
      <w:r w:rsidR="00FE3D04">
        <w:rPr>
          <w:rFonts w:ascii="Arial" w:hAnsi="Arial" w:cs="Arial"/>
          <w:lang w:val="de-CH"/>
        </w:rPr>
        <w:t>»</w:t>
      </w:r>
      <w:r w:rsidRPr="00412D1C">
        <w:rPr>
          <w:rFonts w:ascii="Arial" w:hAnsi="Arial" w:cs="Arial"/>
          <w:lang w:val="de-CH"/>
        </w:rPr>
        <w:t xml:space="preserve"> 32 Millionen Aufrufe erreicht habe und selbst die am wenigsten angesehenen Inhalte 10 Millionen Aufrufe verzeichneten.</w:t>
      </w:r>
    </w:p>
    <w:p w14:paraId="3BC0D1F8" w14:textId="77777777" w:rsidR="00D42058" w:rsidRDefault="00D42058" w:rsidP="00F72C67">
      <w:pPr>
        <w:spacing w:after="120" w:line="360" w:lineRule="auto"/>
        <w:jc w:val="both"/>
        <w:rPr>
          <w:rFonts w:ascii="Arial" w:hAnsi="Arial" w:cs="Arial"/>
          <w:lang w:val="de-CH"/>
        </w:rPr>
      </w:pPr>
    </w:p>
    <w:p w14:paraId="1316BEB3" w14:textId="3AB6F03D" w:rsidR="00412D1C" w:rsidRPr="00D42058" w:rsidRDefault="00412D1C" w:rsidP="00F72C67">
      <w:pPr>
        <w:spacing w:after="120" w:line="360" w:lineRule="auto"/>
        <w:jc w:val="both"/>
        <w:rPr>
          <w:rFonts w:ascii="Arial" w:eastAsia="Calibri" w:hAnsi="Arial" w:cs="Arial"/>
          <w:b/>
          <w:bCs/>
          <w:lang w:val="de-CH"/>
        </w:rPr>
      </w:pPr>
      <w:r w:rsidRPr="00D42058">
        <w:rPr>
          <w:rFonts w:ascii="Arial" w:eastAsia="Calibri" w:hAnsi="Arial" w:cs="Arial"/>
          <w:b/>
          <w:bCs/>
          <w:lang w:val="de-CH"/>
        </w:rPr>
        <w:lastRenderedPageBreak/>
        <w:t xml:space="preserve">Einige Highlights aus den Tourismusergebnissen der </w:t>
      </w:r>
      <w:r w:rsidR="00AE4C22" w:rsidRPr="00D42058">
        <w:rPr>
          <w:rFonts w:ascii="Arial" w:eastAsia="Calibri" w:hAnsi="Arial" w:cs="Arial"/>
          <w:b/>
          <w:bCs/>
          <w:lang w:val="de-CH"/>
        </w:rPr>
        <w:t>Türkiye</w:t>
      </w:r>
      <w:r w:rsidRPr="00D42058">
        <w:rPr>
          <w:rFonts w:ascii="Arial" w:eastAsia="Calibri" w:hAnsi="Arial" w:cs="Arial"/>
          <w:b/>
          <w:bCs/>
          <w:lang w:val="de-CH"/>
        </w:rPr>
        <w:t xml:space="preserve"> für 2025:</w:t>
      </w:r>
    </w:p>
    <w:tbl>
      <w:tblPr>
        <w:tblStyle w:val="Tabellenraster"/>
        <w:tblW w:w="0" w:type="auto"/>
        <w:tblLook w:val="04A0" w:firstRow="1" w:lastRow="0" w:firstColumn="1" w:lastColumn="0" w:noHBand="0" w:noVBand="1"/>
      </w:tblPr>
      <w:tblGrid>
        <w:gridCol w:w="2502"/>
        <w:gridCol w:w="2125"/>
        <w:gridCol w:w="2266"/>
        <w:gridCol w:w="2266"/>
      </w:tblGrid>
      <w:tr w:rsidR="00412D1C" w:rsidRPr="00412D1C" w14:paraId="2A2818E5" w14:textId="77777777" w:rsidTr="00D42058">
        <w:tc>
          <w:tcPr>
            <w:tcW w:w="2502" w:type="dxa"/>
            <w:tcBorders>
              <w:top w:val="single" w:sz="4" w:space="0" w:color="auto"/>
              <w:left w:val="single" w:sz="4" w:space="0" w:color="auto"/>
              <w:bottom w:val="single" w:sz="4" w:space="0" w:color="auto"/>
              <w:right w:val="single" w:sz="4" w:space="0" w:color="auto"/>
            </w:tcBorders>
          </w:tcPr>
          <w:p w14:paraId="04F63518" w14:textId="77777777" w:rsidR="00412D1C" w:rsidRPr="00F34DD8" w:rsidRDefault="00412D1C" w:rsidP="00412D1C">
            <w:pPr>
              <w:spacing w:after="120" w:line="360" w:lineRule="auto"/>
              <w:jc w:val="both"/>
              <w:rPr>
                <w:rFonts w:ascii="Arial" w:hAnsi="Arial" w:cs="Arial"/>
                <w:b/>
                <w:bCs/>
                <w:lang w:val="de-CH"/>
              </w:rPr>
            </w:pPr>
          </w:p>
        </w:tc>
        <w:tc>
          <w:tcPr>
            <w:tcW w:w="2125" w:type="dxa"/>
            <w:tcBorders>
              <w:top w:val="single" w:sz="4" w:space="0" w:color="auto"/>
              <w:left w:val="single" w:sz="4" w:space="0" w:color="auto"/>
              <w:bottom w:val="single" w:sz="4" w:space="0" w:color="auto"/>
              <w:right w:val="single" w:sz="4" w:space="0" w:color="auto"/>
            </w:tcBorders>
            <w:hideMark/>
          </w:tcPr>
          <w:p w14:paraId="745F858D" w14:textId="77777777" w:rsidR="00412D1C" w:rsidRPr="00412D1C" w:rsidRDefault="00412D1C" w:rsidP="00412D1C">
            <w:pPr>
              <w:spacing w:after="120" w:line="360" w:lineRule="auto"/>
              <w:jc w:val="both"/>
              <w:rPr>
                <w:rFonts w:ascii="Arial" w:hAnsi="Arial" w:cs="Arial"/>
                <w:b/>
                <w:bCs/>
                <w:lang w:val="en-GB"/>
              </w:rPr>
            </w:pPr>
            <w:r w:rsidRPr="00412D1C">
              <w:rPr>
                <w:rFonts w:ascii="Arial" w:hAnsi="Arial" w:cs="Arial"/>
                <w:b/>
                <w:bCs/>
                <w:lang w:val="en-GB"/>
              </w:rPr>
              <w:t>2025</w:t>
            </w:r>
          </w:p>
        </w:tc>
        <w:tc>
          <w:tcPr>
            <w:tcW w:w="2266" w:type="dxa"/>
            <w:tcBorders>
              <w:top w:val="single" w:sz="4" w:space="0" w:color="auto"/>
              <w:left w:val="single" w:sz="4" w:space="0" w:color="auto"/>
              <w:bottom w:val="single" w:sz="4" w:space="0" w:color="auto"/>
              <w:right w:val="single" w:sz="4" w:space="0" w:color="auto"/>
            </w:tcBorders>
            <w:hideMark/>
          </w:tcPr>
          <w:p w14:paraId="0F935608" w14:textId="210C0B99" w:rsidR="00412D1C" w:rsidRPr="00412D1C" w:rsidRDefault="00412D1C" w:rsidP="00412D1C">
            <w:pPr>
              <w:spacing w:after="120" w:line="360" w:lineRule="auto"/>
              <w:jc w:val="both"/>
              <w:rPr>
                <w:rFonts w:ascii="Arial" w:hAnsi="Arial" w:cs="Arial"/>
                <w:b/>
                <w:bCs/>
                <w:lang w:val="en-GB"/>
              </w:rPr>
            </w:pPr>
            <w:r w:rsidRPr="00412D1C">
              <w:rPr>
                <w:rFonts w:ascii="Arial" w:hAnsi="Arial" w:cs="Arial"/>
                <w:b/>
                <w:bCs/>
                <w:lang w:val="en-GB"/>
              </w:rPr>
              <w:t>2024-202</w:t>
            </w:r>
            <w:r>
              <w:rPr>
                <w:rFonts w:ascii="Arial" w:hAnsi="Arial" w:cs="Arial"/>
                <w:b/>
                <w:bCs/>
                <w:lang w:val="en-GB"/>
              </w:rPr>
              <w:t xml:space="preserve">5 </w:t>
            </w:r>
            <w:proofErr w:type="spellStart"/>
            <w:r w:rsidRPr="00412D1C">
              <w:rPr>
                <w:rFonts w:ascii="Arial" w:hAnsi="Arial" w:cs="Arial"/>
                <w:lang w:val="en-GB"/>
              </w:rPr>
              <w:t>Wachstum</w:t>
            </w:r>
            <w:proofErr w:type="spellEnd"/>
          </w:p>
        </w:tc>
        <w:tc>
          <w:tcPr>
            <w:tcW w:w="2266" w:type="dxa"/>
            <w:tcBorders>
              <w:top w:val="single" w:sz="4" w:space="0" w:color="auto"/>
              <w:left w:val="single" w:sz="4" w:space="0" w:color="auto"/>
              <w:bottom w:val="single" w:sz="4" w:space="0" w:color="auto"/>
              <w:right w:val="single" w:sz="4" w:space="0" w:color="auto"/>
            </w:tcBorders>
            <w:hideMark/>
          </w:tcPr>
          <w:p w14:paraId="22582249" w14:textId="148754D8" w:rsidR="00412D1C" w:rsidRPr="00412D1C" w:rsidRDefault="00412D1C" w:rsidP="00412D1C">
            <w:pPr>
              <w:spacing w:after="120" w:line="360" w:lineRule="auto"/>
              <w:jc w:val="both"/>
              <w:rPr>
                <w:rFonts w:ascii="Arial" w:hAnsi="Arial" w:cs="Arial"/>
                <w:b/>
                <w:bCs/>
                <w:lang w:val="en-GB"/>
              </w:rPr>
            </w:pPr>
            <w:r w:rsidRPr="00412D1C">
              <w:rPr>
                <w:rFonts w:ascii="Arial" w:hAnsi="Arial" w:cs="Arial"/>
                <w:b/>
                <w:bCs/>
                <w:lang w:val="en-GB"/>
              </w:rPr>
              <w:t>2017-2025</w:t>
            </w:r>
            <w:r>
              <w:rPr>
                <w:rFonts w:ascii="Arial" w:hAnsi="Arial" w:cs="Arial"/>
                <w:b/>
                <w:bCs/>
                <w:lang w:val="en-GB"/>
              </w:rPr>
              <w:t xml:space="preserve"> </w:t>
            </w:r>
            <w:proofErr w:type="spellStart"/>
            <w:r w:rsidRPr="00412D1C">
              <w:rPr>
                <w:rFonts w:ascii="Arial" w:hAnsi="Arial" w:cs="Arial"/>
                <w:lang w:val="en-GB"/>
              </w:rPr>
              <w:t>Wachstum</w:t>
            </w:r>
            <w:proofErr w:type="spellEnd"/>
          </w:p>
        </w:tc>
      </w:tr>
      <w:tr w:rsidR="00412D1C" w:rsidRPr="00412D1C" w14:paraId="2CA3317E" w14:textId="77777777" w:rsidTr="00D42058">
        <w:tc>
          <w:tcPr>
            <w:tcW w:w="2502" w:type="dxa"/>
            <w:tcBorders>
              <w:top w:val="single" w:sz="4" w:space="0" w:color="auto"/>
              <w:left w:val="single" w:sz="4" w:space="0" w:color="auto"/>
              <w:bottom w:val="single" w:sz="4" w:space="0" w:color="auto"/>
              <w:right w:val="single" w:sz="4" w:space="0" w:color="auto"/>
            </w:tcBorders>
            <w:hideMark/>
          </w:tcPr>
          <w:p w14:paraId="5F4FE2E1" w14:textId="43ABC45F" w:rsidR="00412D1C" w:rsidRPr="00412D1C" w:rsidRDefault="00412D1C" w:rsidP="00412D1C">
            <w:pPr>
              <w:spacing w:after="120" w:line="360" w:lineRule="auto"/>
              <w:jc w:val="both"/>
              <w:rPr>
                <w:rFonts w:ascii="Arial" w:hAnsi="Arial" w:cs="Arial"/>
                <w:b/>
                <w:bCs/>
                <w:lang w:val="en-GB"/>
              </w:rPr>
            </w:pPr>
            <w:proofErr w:type="spellStart"/>
            <w:r>
              <w:rPr>
                <w:rFonts w:ascii="Arial" w:hAnsi="Arial" w:cs="Arial"/>
                <w:b/>
                <w:bCs/>
                <w:lang w:val="en-GB"/>
              </w:rPr>
              <w:t>Besuch</w:t>
            </w:r>
            <w:r w:rsidR="00FE3D04">
              <w:rPr>
                <w:rFonts w:ascii="Arial" w:hAnsi="Arial" w:cs="Arial"/>
                <w:b/>
                <w:bCs/>
                <w:lang w:val="en-GB"/>
              </w:rPr>
              <w:t>enden</w:t>
            </w:r>
            <w:proofErr w:type="spellEnd"/>
            <w:r w:rsidR="00FE3D04">
              <w:rPr>
                <w:rFonts w:ascii="Arial" w:hAnsi="Arial" w:cs="Arial"/>
                <w:b/>
                <w:bCs/>
                <w:lang w:val="en-GB"/>
              </w:rPr>
              <w:t xml:space="preserve"> </w:t>
            </w:r>
            <w:proofErr w:type="spellStart"/>
            <w:r w:rsidR="00FE3D04">
              <w:rPr>
                <w:rFonts w:ascii="Arial" w:hAnsi="Arial" w:cs="Arial"/>
                <w:b/>
                <w:bCs/>
                <w:lang w:val="en-GB"/>
              </w:rPr>
              <w:t>A</w:t>
            </w:r>
            <w:r>
              <w:rPr>
                <w:rFonts w:ascii="Arial" w:hAnsi="Arial" w:cs="Arial"/>
                <w:b/>
                <w:bCs/>
                <w:lang w:val="en-GB"/>
              </w:rPr>
              <w:t>nzahl</w:t>
            </w:r>
            <w:proofErr w:type="spellEnd"/>
            <w:r>
              <w:rPr>
                <w:rFonts w:ascii="Arial" w:hAnsi="Arial" w:cs="Arial"/>
                <w:b/>
                <w:bCs/>
                <w:lang w:val="en-GB"/>
              </w:rPr>
              <w:t>:</w:t>
            </w:r>
          </w:p>
        </w:tc>
        <w:tc>
          <w:tcPr>
            <w:tcW w:w="2125" w:type="dxa"/>
            <w:tcBorders>
              <w:top w:val="single" w:sz="4" w:space="0" w:color="auto"/>
              <w:left w:val="single" w:sz="4" w:space="0" w:color="auto"/>
              <w:bottom w:val="single" w:sz="4" w:space="0" w:color="auto"/>
              <w:right w:val="single" w:sz="4" w:space="0" w:color="auto"/>
            </w:tcBorders>
            <w:hideMark/>
          </w:tcPr>
          <w:p w14:paraId="16BFBBD7"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63.941.000</w:t>
            </w:r>
          </w:p>
        </w:tc>
        <w:tc>
          <w:tcPr>
            <w:tcW w:w="2266" w:type="dxa"/>
            <w:tcBorders>
              <w:top w:val="single" w:sz="4" w:space="0" w:color="auto"/>
              <w:left w:val="single" w:sz="4" w:space="0" w:color="auto"/>
              <w:bottom w:val="single" w:sz="4" w:space="0" w:color="auto"/>
              <w:right w:val="single" w:sz="4" w:space="0" w:color="auto"/>
            </w:tcBorders>
            <w:hideMark/>
          </w:tcPr>
          <w:p w14:paraId="5495E25F"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+2.7%</w:t>
            </w:r>
          </w:p>
        </w:tc>
        <w:tc>
          <w:tcPr>
            <w:tcW w:w="2266" w:type="dxa"/>
            <w:tcBorders>
              <w:top w:val="single" w:sz="4" w:space="0" w:color="auto"/>
              <w:left w:val="single" w:sz="4" w:space="0" w:color="auto"/>
              <w:bottom w:val="single" w:sz="4" w:space="0" w:color="auto"/>
              <w:right w:val="single" w:sz="4" w:space="0" w:color="auto"/>
            </w:tcBorders>
            <w:hideMark/>
          </w:tcPr>
          <w:p w14:paraId="151A4A5B"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+68%</w:t>
            </w:r>
          </w:p>
        </w:tc>
      </w:tr>
      <w:tr w:rsidR="00412D1C" w:rsidRPr="00412D1C" w14:paraId="2E8D56A2" w14:textId="77777777" w:rsidTr="00D42058">
        <w:tc>
          <w:tcPr>
            <w:tcW w:w="2502" w:type="dxa"/>
            <w:tcBorders>
              <w:top w:val="single" w:sz="4" w:space="0" w:color="auto"/>
              <w:left w:val="single" w:sz="4" w:space="0" w:color="auto"/>
              <w:bottom w:val="single" w:sz="4" w:space="0" w:color="auto"/>
              <w:right w:val="single" w:sz="4" w:space="0" w:color="auto"/>
            </w:tcBorders>
            <w:hideMark/>
          </w:tcPr>
          <w:p w14:paraId="0BAE7D9A" w14:textId="03D6EEB2" w:rsidR="00412D1C" w:rsidRPr="00412D1C" w:rsidRDefault="0004691C" w:rsidP="00412D1C">
            <w:pPr>
              <w:spacing w:after="120" w:line="360" w:lineRule="auto"/>
              <w:jc w:val="both"/>
              <w:rPr>
                <w:rFonts w:ascii="Arial" w:hAnsi="Arial" w:cs="Arial"/>
                <w:b/>
                <w:bCs/>
                <w:lang w:val="en-GB"/>
              </w:rPr>
            </w:pPr>
            <w:proofErr w:type="spellStart"/>
            <w:r>
              <w:rPr>
                <w:rFonts w:ascii="Arial" w:hAnsi="Arial" w:cs="Arial"/>
                <w:b/>
                <w:bCs/>
                <w:lang w:val="en-GB"/>
              </w:rPr>
              <w:t>Tourismuseinnahmen</w:t>
            </w:r>
            <w:proofErr w:type="spellEnd"/>
          </w:p>
        </w:tc>
        <w:tc>
          <w:tcPr>
            <w:tcW w:w="2125" w:type="dxa"/>
            <w:tcBorders>
              <w:top w:val="single" w:sz="4" w:space="0" w:color="auto"/>
              <w:left w:val="single" w:sz="4" w:space="0" w:color="auto"/>
              <w:bottom w:val="single" w:sz="4" w:space="0" w:color="auto"/>
              <w:right w:val="single" w:sz="4" w:space="0" w:color="auto"/>
            </w:tcBorders>
            <w:hideMark/>
          </w:tcPr>
          <w:p w14:paraId="401533B8"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65,231 billion USD</w:t>
            </w:r>
          </w:p>
        </w:tc>
        <w:tc>
          <w:tcPr>
            <w:tcW w:w="2266" w:type="dxa"/>
            <w:tcBorders>
              <w:top w:val="single" w:sz="4" w:space="0" w:color="auto"/>
              <w:left w:val="single" w:sz="4" w:space="0" w:color="auto"/>
              <w:bottom w:val="single" w:sz="4" w:space="0" w:color="auto"/>
              <w:right w:val="single" w:sz="4" w:space="0" w:color="auto"/>
            </w:tcBorders>
            <w:hideMark/>
          </w:tcPr>
          <w:p w14:paraId="086DEB38"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+6.8%</w:t>
            </w:r>
          </w:p>
        </w:tc>
        <w:tc>
          <w:tcPr>
            <w:tcW w:w="2266" w:type="dxa"/>
            <w:tcBorders>
              <w:top w:val="single" w:sz="4" w:space="0" w:color="auto"/>
              <w:left w:val="single" w:sz="4" w:space="0" w:color="auto"/>
              <w:bottom w:val="single" w:sz="4" w:space="0" w:color="auto"/>
              <w:right w:val="single" w:sz="4" w:space="0" w:color="auto"/>
            </w:tcBorders>
            <w:hideMark/>
          </w:tcPr>
          <w:p w14:paraId="7BE580DB"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+109%</w:t>
            </w:r>
          </w:p>
        </w:tc>
      </w:tr>
      <w:tr w:rsidR="00412D1C" w:rsidRPr="00412D1C" w14:paraId="1249AB3C" w14:textId="77777777" w:rsidTr="00D42058">
        <w:tc>
          <w:tcPr>
            <w:tcW w:w="2502" w:type="dxa"/>
            <w:tcBorders>
              <w:top w:val="single" w:sz="4" w:space="0" w:color="auto"/>
              <w:left w:val="single" w:sz="4" w:space="0" w:color="auto"/>
              <w:bottom w:val="single" w:sz="4" w:space="0" w:color="auto"/>
              <w:right w:val="single" w:sz="4" w:space="0" w:color="auto"/>
            </w:tcBorders>
            <w:hideMark/>
          </w:tcPr>
          <w:p w14:paraId="7F414F1A" w14:textId="2B4DAD1C" w:rsidR="00412D1C" w:rsidRPr="00412D1C" w:rsidRDefault="0004691C" w:rsidP="00412D1C">
            <w:pPr>
              <w:spacing w:after="120" w:line="360" w:lineRule="auto"/>
              <w:jc w:val="both"/>
              <w:rPr>
                <w:rFonts w:ascii="Arial" w:hAnsi="Arial" w:cs="Arial"/>
                <w:b/>
                <w:bCs/>
                <w:lang w:val="en-GB"/>
              </w:rPr>
            </w:pPr>
            <w:proofErr w:type="spellStart"/>
            <w:r>
              <w:rPr>
                <w:rFonts w:ascii="Arial" w:hAnsi="Arial" w:cs="Arial"/>
                <w:b/>
                <w:bCs/>
                <w:lang w:val="en-GB"/>
              </w:rPr>
              <w:t>Ausgaben</w:t>
            </w:r>
            <w:proofErr w:type="spellEnd"/>
            <w:r>
              <w:rPr>
                <w:rFonts w:ascii="Arial" w:hAnsi="Arial" w:cs="Arial"/>
                <w:b/>
                <w:bCs/>
                <w:lang w:val="en-GB"/>
              </w:rPr>
              <w:t xml:space="preserve"> pro Nacht:</w:t>
            </w:r>
          </w:p>
        </w:tc>
        <w:tc>
          <w:tcPr>
            <w:tcW w:w="2125" w:type="dxa"/>
            <w:tcBorders>
              <w:top w:val="single" w:sz="4" w:space="0" w:color="auto"/>
              <w:left w:val="single" w:sz="4" w:space="0" w:color="auto"/>
              <w:bottom w:val="single" w:sz="4" w:space="0" w:color="auto"/>
              <w:right w:val="single" w:sz="4" w:space="0" w:color="auto"/>
            </w:tcBorders>
            <w:hideMark/>
          </w:tcPr>
          <w:p w14:paraId="078498E0"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100,0 USD</w:t>
            </w:r>
          </w:p>
        </w:tc>
        <w:tc>
          <w:tcPr>
            <w:tcW w:w="2266" w:type="dxa"/>
            <w:tcBorders>
              <w:top w:val="single" w:sz="4" w:space="0" w:color="auto"/>
              <w:left w:val="single" w:sz="4" w:space="0" w:color="auto"/>
              <w:bottom w:val="single" w:sz="4" w:space="0" w:color="auto"/>
              <w:right w:val="single" w:sz="4" w:space="0" w:color="auto"/>
            </w:tcBorders>
            <w:hideMark/>
          </w:tcPr>
          <w:p w14:paraId="04E989BE"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+3.6%</w:t>
            </w:r>
          </w:p>
        </w:tc>
        <w:tc>
          <w:tcPr>
            <w:tcW w:w="2266" w:type="dxa"/>
            <w:tcBorders>
              <w:top w:val="single" w:sz="4" w:space="0" w:color="auto"/>
              <w:left w:val="single" w:sz="4" w:space="0" w:color="auto"/>
              <w:bottom w:val="single" w:sz="4" w:space="0" w:color="auto"/>
              <w:right w:val="single" w:sz="4" w:space="0" w:color="auto"/>
            </w:tcBorders>
            <w:hideMark/>
          </w:tcPr>
          <w:p w14:paraId="0E55F2A0" w14:textId="77777777" w:rsidR="00412D1C" w:rsidRPr="00412D1C" w:rsidRDefault="00412D1C" w:rsidP="00412D1C">
            <w:pPr>
              <w:spacing w:after="120" w:line="360" w:lineRule="auto"/>
              <w:jc w:val="both"/>
              <w:rPr>
                <w:rFonts w:ascii="Arial" w:hAnsi="Arial" w:cs="Arial"/>
                <w:lang w:val="en-GB"/>
              </w:rPr>
            </w:pPr>
            <w:r w:rsidRPr="00412D1C">
              <w:rPr>
                <w:rFonts w:ascii="Arial" w:hAnsi="Arial" w:cs="Arial"/>
                <w:lang w:val="en-GB"/>
              </w:rPr>
              <w:t>+36%</w:t>
            </w:r>
          </w:p>
        </w:tc>
      </w:tr>
    </w:tbl>
    <w:p w14:paraId="2F3ADEBC" w14:textId="77777777" w:rsidR="00412D1C" w:rsidRDefault="00412D1C" w:rsidP="00412D1C">
      <w:pPr>
        <w:spacing w:after="120" w:line="360" w:lineRule="auto"/>
        <w:jc w:val="both"/>
        <w:rPr>
          <w:rFonts w:ascii="Arial" w:hAnsi="Arial" w:cs="Arial"/>
          <w:b/>
          <w:bCs/>
          <w:lang w:val="en-GB"/>
        </w:rPr>
      </w:pPr>
    </w:p>
    <w:p w14:paraId="6CA64096" w14:textId="6E1EA0CE" w:rsidR="0004691C" w:rsidRPr="0004691C" w:rsidRDefault="0004691C" w:rsidP="0004691C">
      <w:pPr>
        <w:spacing w:after="120" w:line="360" w:lineRule="auto"/>
        <w:jc w:val="both"/>
        <w:rPr>
          <w:rFonts w:ascii="Arial" w:hAnsi="Arial" w:cs="Arial"/>
          <w:b/>
          <w:bCs/>
          <w:lang w:val="de-CH"/>
        </w:rPr>
      </w:pPr>
      <w:r w:rsidRPr="0004691C">
        <w:rPr>
          <w:rFonts w:ascii="Arial" w:hAnsi="Arial" w:cs="Arial"/>
          <w:b/>
          <w:bCs/>
          <w:lang w:val="de-CH"/>
        </w:rPr>
        <w:t xml:space="preserve">Die drei größten Märkte der </w:t>
      </w:r>
      <w:r w:rsidR="00AE4C22">
        <w:rPr>
          <w:rFonts w:ascii="Arial" w:hAnsi="Arial" w:cs="Arial"/>
          <w:b/>
          <w:bCs/>
          <w:lang w:val="de-CH"/>
        </w:rPr>
        <w:t>Türkiye</w:t>
      </w:r>
      <w:r w:rsidRPr="0004691C">
        <w:rPr>
          <w:rFonts w:ascii="Arial" w:hAnsi="Arial" w:cs="Arial"/>
          <w:b/>
          <w:bCs/>
          <w:lang w:val="de-CH"/>
        </w:rPr>
        <w:t>:</w:t>
      </w:r>
    </w:p>
    <w:p w14:paraId="4108AF3B" w14:textId="77777777" w:rsidR="0004691C" w:rsidRPr="0004691C" w:rsidRDefault="0004691C" w:rsidP="0004691C">
      <w:pPr>
        <w:spacing w:after="0" w:line="360" w:lineRule="auto"/>
        <w:ind w:firstLine="708"/>
        <w:jc w:val="both"/>
        <w:rPr>
          <w:rFonts w:ascii="Arial" w:hAnsi="Arial" w:cs="Arial"/>
          <w:lang w:val="de-CH"/>
        </w:rPr>
      </w:pPr>
      <w:r w:rsidRPr="0004691C">
        <w:rPr>
          <w:rFonts w:ascii="Arial" w:hAnsi="Arial" w:cs="Arial"/>
          <w:lang w:val="de-CH"/>
        </w:rPr>
        <w:t>1.    Russische Föderation: 6,90 Mio.</w:t>
      </w:r>
    </w:p>
    <w:p w14:paraId="05374447" w14:textId="77777777" w:rsidR="0004691C" w:rsidRPr="0004691C" w:rsidRDefault="0004691C" w:rsidP="0004691C">
      <w:pPr>
        <w:spacing w:after="0" w:line="360" w:lineRule="auto"/>
        <w:ind w:firstLine="708"/>
        <w:jc w:val="both"/>
        <w:rPr>
          <w:rFonts w:ascii="Arial" w:hAnsi="Arial" w:cs="Arial"/>
          <w:lang w:val="de-CH"/>
        </w:rPr>
      </w:pPr>
      <w:r w:rsidRPr="0004691C">
        <w:rPr>
          <w:rFonts w:ascii="Arial" w:hAnsi="Arial" w:cs="Arial"/>
          <w:lang w:val="de-CH"/>
        </w:rPr>
        <w:t>2.    Deutschland: 6,75 Mio.</w:t>
      </w:r>
    </w:p>
    <w:p w14:paraId="60F675B4" w14:textId="3443031A" w:rsidR="0004691C" w:rsidRPr="00F34DD8" w:rsidRDefault="0004691C" w:rsidP="0004691C">
      <w:pPr>
        <w:spacing w:after="0" w:line="360" w:lineRule="auto"/>
        <w:ind w:firstLine="708"/>
        <w:jc w:val="both"/>
        <w:rPr>
          <w:rFonts w:ascii="Arial" w:hAnsi="Arial" w:cs="Arial"/>
          <w:lang w:val="de-CH"/>
        </w:rPr>
      </w:pPr>
      <w:r w:rsidRPr="00F34DD8">
        <w:rPr>
          <w:rFonts w:ascii="Arial" w:hAnsi="Arial" w:cs="Arial"/>
          <w:lang w:val="de-CH"/>
        </w:rPr>
        <w:t>3.    Vereinigtes Königreich: 4,27 Mio.</w:t>
      </w:r>
    </w:p>
    <w:p w14:paraId="4F7AAD76" w14:textId="77777777" w:rsidR="00412D1C" w:rsidRPr="00412D1C" w:rsidRDefault="00412D1C" w:rsidP="00F72C67">
      <w:pPr>
        <w:spacing w:after="120" w:line="360" w:lineRule="auto"/>
        <w:jc w:val="both"/>
        <w:rPr>
          <w:rFonts w:ascii="Arial" w:hAnsi="Arial" w:cs="Arial"/>
          <w:b/>
          <w:bCs/>
          <w:lang w:val="de-CH"/>
        </w:rPr>
      </w:pPr>
    </w:p>
    <w:p w14:paraId="311C2C47" w14:textId="4F2C97EF" w:rsidR="003F7404" w:rsidRPr="00D42058" w:rsidRDefault="003F7404" w:rsidP="00994653">
      <w:pPr>
        <w:pStyle w:val="KeinLeerraum"/>
        <w:spacing w:after="120" w:line="360" w:lineRule="auto"/>
        <w:jc w:val="both"/>
        <w:rPr>
          <w:rFonts w:ascii="Arial" w:eastAsia="Times New Roman" w:hAnsi="Arial" w:cs="Arial"/>
          <w:lang w:val="de-CH"/>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7" w:history="1">
        <w:r w:rsidRPr="00CD6BA4">
          <w:rPr>
            <w:rStyle w:val="Hyperlink"/>
            <w:rFonts w:ascii="Arial" w:eastAsia="Times New Roman" w:hAnsi="Arial" w:cs="Arial"/>
            <w:b/>
            <w:bCs/>
            <w:lang w:val="de-CH"/>
          </w:rPr>
          <w:t>hier</w:t>
        </w:r>
      </w:hyperlink>
      <w:r w:rsidRPr="00CD6BA4">
        <w:rPr>
          <w:rFonts w:ascii="Arial" w:eastAsia="Times New Roman" w:hAnsi="Arial" w:cs="Arial"/>
          <w:b/>
          <w:bCs/>
          <w:lang w:val="de-CH"/>
        </w:rPr>
        <w:t>.</w:t>
      </w:r>
      <w:r w:rsidR="002C5B16">
        <w:rPr>
          <w:rFonts w:ascii="Arial" w:eastAsia="Times New Roman" w:hAnsi="Arial" w:cs="Arial"/>
          <w:lang w:val="de-CH"/>
        </w:rPr>
        <w:t xml:space="preserve"> </w:t>
      </w:r>
      <w:r w:rsidR="002C5B16" w:rsidRPr="00D42058">
        <w:rPr>
          <w:rFonts w:ascii="Arial" w:eastAsia="Times New Roman" w:hAnsi="Arial" w:cs="Arial"/>
          <w:lang w:val="de-CH"/>
        </w:rPr>
        <w:t xml:space="preserve">Bilder © </w:t>
      </w:r>
      <w:proofErr w:type="spellStart"/>
      <w:r w:rsidR="002C5B16" w:rsidRPr="00D42058">
        <w:rPr>
          <w:rFonts w:ascii="Arial" w:eastAsia="Times New Roman" w:hAnsi="Arial" w:cs="Arial"/>
          <w:lang w:val="de-CH"/>
        </w:rPr>
        <w:t>GoTürkiye</w:t>
      </w:r>
      <w:proofErr w:type="spellEnd"/>
      <w:r w:rsidR="002C5B16" w:rsidRPr="00D42058">
        <w:rPr>
          <w:rFonts w:ascii="Arial" w:eastAsia="Times New Roman" w:hAnsi="Arial" w:cs="Arial"/>
          <w:lang w:val="de-CH"/>
        </w:rPr>
        <w:t xml:space="preserve">. </w:t>
      </w:r>
    </w:p>
    <w:p w14:paraId="1A4EDE59" w14:textId="41D24B95" w:rsidR="005626E4" w:rsidRPr="00D42058" w:rsidRDefault="005626E4" w:rsidP="00994653">
      <w:pPr>
        <w:pStyle w:val="KeinLeerraum"/>
        <w:spacing w:after="120" w:line="360" w:lineRule="auto"/>
        <w:jc w:val="both"/>
        <w:rPr>
          <w:rFonts w:ascii="Arial" w:hAnsi="Arial" w:cs="Arial"/>
          <w:b/>
          <w:bCs/>
          <w:lang w:val="de-CH"/>
        </w:rPr>
      </w:pPr>
      <w:proofErr w:type="spellStart"/>
      <w:r w:rsidRPr="00D42058">
        <w:rPr>
          <w:rFonts w:ascii="Arial" w:hAnsi="Arial" w:cs="Arial"/>
          <w:b/>
          <w:bCs/>
          <w:lang w:val="de-CH"/>
        </w:rPr>
        <w:t>Social</w:t>
      </w:r>
      <w:proofErr w:type="spellEnd"/>
      <w:r w:rsidRPr="00D42058">
        <w:rPr>
          <w:rFonts w:ascii="Arial" w:hAnsi="Arial" w:cs="Arial"/>
          <w:b/>
          <w:bCs/>
          <w:lang w:val="de-CH"/>
        </w:rPr>
        <w:t xml:space="preserve"> Media </w:t>
      </w:r>
    </w:p>
    <w:p w14:paraId="5EB4B068" w14:textId="77777777" w:rsidR="005626E4" w:rsidRPr="00D42058" w:rsidRDefault="005626E4" w:rsidP="00994653">
      <w:pPr>
        <w:pStyle w:val="KeinLeerraum"/>
        <w:spacing w:after="120" w:line="360" w:lineRule="auto"/>
        <w:jc w:val="both"/>
        <w:rPr>
          <w:rFonts w:ascii="Arial" w:hAnsi="Arial" w:cs="Arial"/>
          <w:lang w:val="de-CH"/>
        </w:rPr>
      </w:pPr>
      <w:r w:rsidRPr="00D42058">
        <w:rPr>
          <w:rFonts w:ascii="Arial" w:hAnsi="Arial" w:cs="Arial"/>
          <w:lang w:val="de-CH"/>
        </w:rPr>
        <w:t xml:space="preserve">Website: </w:t>
      </w:r>
      <w:hyperlink r:id="rId8" w:history="1">
        <w:r w:rsidRPr="00D42058">
          <w:rPr>
            <w:rStyle w:val="Hyperlink"/>
            <w:rFonts w:ascii="Arial" w:hAnsi="Arial" w:cs="Arial"/>
            <w:lang w:val="de-CH"/>
          </w:rPr>
          <w:t>goturkiye.com/</w:t>
        </w:r>
      </w:hyperlink>
      <w:r w:rsidRPr="00D42058">
        <w:rPr>
          <w:rFonts w:ascii="Arial" w:hAnsi="Arial" w:cs="Arial"/>
          <w:lang w:val="de-CH"/>
        </w:rPr>
        <w:t xml:space="preserve"> </w:t>
      </w:r>
    </w:p>
    <w:p w14:paraId="54E068D6" w14:textId="77777777" w:rsidR="005626E4" w:rsidRPr="00D42058" w:rsidRDefault="005626E4" w:rsidP="00994653">
      <w:pPr>
        <w:pStyle w:val="KeinLeerraum"/>
        <w:spacing w:after="120" w:line="360" w:lineRule="auto"/>
        <w:jc w:val="both"/>
        <w:rPr>
          <w:rFonts w:ascii="Arial" w:hAnsi="Arial" w:cs="Arial"/>
          <w:lang w:val="de-CH"/>
        </w:rPr>
      </w:pPr>
      <w:r w:rsidRPr="00D42058">
        <w:rPr>
          <w:rFonts w:ascii="Arial" w:hAnsi="Arial" w:cs="Arial"/>
          <w:lang w:val="de-CH"/>
        </w:rPr>
        <w:t xml:space="preserve">Facebook: </w:t>
      </w:r>
      <w:hyperlink r:id="rId9" w:history="1">
        <w:r w:rsidRPr="00D42058">
          <w:rPr>
            <w:rStyle w:val="Hyperlink"/>
            <w:rFonts w:ascii="Arial" w:hAnsi="Arial" w:cs="Arial"/>
            <w:lang w:val="de-CH"/>
          </w:rPr>
          <w:t>www.facebook.com/tuerkeitourismusCH</w:t>
        </w:r>
      </w:hyperlink>
      <w:r w:rsidRPr="00D42058">
        <w:rPr>
          <w:rFonts w:ascii="Arial" w:hAnsi="Arial" w:cs="Arial"/>
          <w:lang w:val="de-CH"/>
        </w:rPr>
        <w:t xml:space="preserve"> </w:t>
      </w:r>
    </w:p>
    <w:p w14:paraId="4022B887" w14:textId="77777777" w:rsidR="005626E4" w:rsidRPr="00D42058" w:rsidRDefault="005626E4" w:rsidP="00994653">
      <w:pPr>
        <w:pStyle w:val="KeinLeerraum"/>
        <w:spacing w:after="120" w:line="360" w:lineRule="auto"/>
        <w:jc w:val="both"/>
        <w:rPr>
          <w:rFonts w:ascii="Arial" w:hAnsi="Arial" w:cs="Arial"/>
          <w:lang w:val="en-US"/>
        </w:rPr>
      </w:pPr>
      <w:r w:rsidRPr="00D42058">
        <w:rPr>
          <w:rFonts w:ascii="Arial" w:hAnsi="Arial" w:cs="Arial"/>
          <w:lang w:val="en-US"/>
        </w:rPr>
        <w:t xml:space="preserve">Instagram: </w:t>
      </w:r>
      <w:hyperlink r:id="rId10" w:history="1">
        <w:r w:rsidRPr="00D42058">
          <w:rPr>
            <w:rStyle w:val="Hyperlink"/>
            <w:rFonts w:ascii="Arial" w:hAnsi="Arial" w:cs="Arial"/>
            <w:lang w:val="en-US"/>
          </w:rPr>
          <w:t>www.instagram.com/tuerkeitourismus/</w:t>
        </w:r>
      </w:hyperlink>
      <w:r w:rsidRPr="00D42058">
        <w:rPr>
          <w:rFonts w:ascii="Arial" w:hAnsi="Arial" w:cs="Arial"/>
          <w:lang w:val="en-US"/>
        </w:rPr>
        <w:t xml:space="preserve"> </w:t>
      </w:r>
    </w:p>
    <w:p w14:paraId="0F0DE445" w14:textId="77777777" w:rsidR="005626E4" w:rsidRPr="00CE4C47" w:rsidRDefault="005626E4" w:rsidP="00994653">
      <w:pPr>
        <w:pStyle w:val="KeinLeerraum"/>
        <w:spacing w:after="120" w:line="360" w:lineRule="auto"/>
        <w:jc w:val="both"/>
        <w:rPr>
          <w:rFonts w:ascii="Arial" w:hAnsi="Arial" w:cs="Arial"/>
          <w:lang w:val="en-US"/>
        </w:rPr>
      </w:pPr>
      <w:r w:rsidRPr="00CE4C47">
        <w:rPr>
          <w:rFonts w:ascii="Arial" w:hAnsi="Arial" w:cs="Arial"/>
          <w:lang w:val="en-US"/>
        </w:rPr>
        <w:t xml:space="preserve">Twitter: </w:t>
      </w:r>
      <w:hyperlink r:id="rId11" w:history="1">
        <w:r w:rsidRPr="00CE4C47">
          <w:rPr>
            <w:rStyle w:val="Hyperlink"/>
            <w:rFonts w:ascii="Arial" w:hAnsi="Arial" w:cs="Arial"/>
            <w:lang w:val="en-US"/>
          </w:rPr>
          <w:t>twitter.com/</w:t>
        </w:r>
        <w:proofErr w:type="spellStart"/>
        <w:r w:rsidRPr="00CE4C47">
          <w:rPr>
            <w:rStyle w:val="Hyperlink"/>
            <w:rFonts w:ascii="Arial" w:hAnsi="Arial" w:cs="Arial"/>
            <w:lang w:val="en-US"/>
          </w:rPr>
          <w:t>goturkiye</w:t>
        </w:r>
        <w:proofErr w:type="spellEnd"/>
      </w:hyperlink>
      <w:r w:rsidRPr="00CE4C47">
        <w:rPr>
          <w:rFonts w:ascii="Arial" w:hAnsi="Arial" w:cs="Arial"/>
          <w:lang w:val="en-US"/>
        </w:rPr>
        <w:t xml:space="preserve"> </w:t>
      </w:r>
    </w:p>
    <w:p w14:paraId="22FADAA6" w14:textId="77777777" w:rsidR="005626E4" w:rsidRDefault="005626E4" w:rsidP="00994653">
      <w:pPr>
        <w:pStyle w:val="KeinLeerraum"/>
        <w:spacing w:after="120" w:line="360" w:lineRule="auto"/>
        <w:jc w:val="both"/>
        <w:rPr>
          <w:rFonts w:ascii="Arial" w:hAnsi="Arial" w:cs="Arial"/>
          <w:lang w:val="en-US"/>
        </w:rPr>
      </w:pPr>
      <w:r w:rsidRPr="00CE4C47">
        <w:rPr>
          <w:rFonts w:ascii="Arial" w:hAnsi="Arial" w:cs="Arial"/>
          <w:lang w:val="en-US"/>
        </w:rPr>
        <w:t xml:space="preserve">YouTube: </w:t>
      </w:r>
      <w:hyperlink r:id="rId12" w:history="1">
        <w:r w:rsidRPr="00CE4C47">
          <w:rPr>
            <w:rStyle w:val="Hyperlink"/>
            <w:rFonts w:ascii="Arial" w:hAnsi="Arial" w:cs="Arial"/>
            <w:lang w:val="en-US"/>
          </w:rPr>
          <w:t>www.youtube.com/GoTurkiye/videos</w:t>
        </w:r>
      </w:hyperlink>
      <w:r w:rsidRPr="00CE4C47">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9876" w14:textId="77777777" w:rsidR="00346011" w:rsidRDefault="00346011" w:rsidP="005626E4">
      <w:pPr>
        <w:spacing w:after="0" w:line="240" w:lineRule="auto"/>
      </w:pPr>
      <w:r>
        <w:separator/>
      </w:r>
    </w:p>
  </w:endnote>
  <w:endnote w:type="continuationSeparator" w:id="0">
    <w:p w14:paraId="4FBDC303" w14:textId="77777777" w:rsidR="00346011" w:rsidRDefault="00346011"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67297" w14:textId="77777777" w:rsidR="00346011" w:rsidRDefault="00346011" w:rsidP="005626E4">
      <w:pPr>
        <w:spacing w:after="0" w:line="240" w:lineRule="auto"/>
      </w:pPr>
      <w:r>
        <w:separator/>
      </w:r>
    </w:p>
  </w:footnote>
  <w:footnote w:type="continuationSeparator" w:id="0">
    <w:p w14:paraId="7CD7C346" w14:textId="77777777" w:rsidR="00346011" w:rsidRDefault="00346011"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4361"/>
    <w:rsid w:val="000C2CEB"/>
    <w:rsid w:val="000D3E7E"/>
    <w:rsid w:val="000F124D"/>
    <w:rsid w:val="00106C22"/>
    <w:rsid w:val="00131185"/>
    <w:rsid w:val="00134046"/>
    <w:rsid w:val="00134CC8"/>
    <w:rsid w:val="001413A6"/>
    <w:rsid w:val="00146B6F"/>
    <w:rsid w:val="001471EF"/>
    <w:rsid w:val="00181735"/>
    <w:rsid w:val="00182B6D"/>
    <w:rsid w:val="0018369A"/>
    <w:rsid w:val="00190220"/>
    <w:rsid w:val="001D63F7"/>
    <w:rsid w:val="00214B07"/>
    <w:rsid w:val="0022738B"/>
    <w:rsid w:val="00234909"/>
    <w:rsid w:val="002415CB"/>
    <w:rsid w:val="002437A8"/>
    <w:rsid w:val="00281A4D"/>
    <w:rsid w:val="002C5B16"/>
    <w:rsid w:val="002E7F77"/>
    <w:rsid w:val="00311D92"/>
    <w:rsid w:val="00323B23"/>
    <w:rsid w:val="00324B8F"/>
    <w:rsid w:val="00327DFA"/>
    <w:rsid w:val="003459B5"/>
    <w:rsid w:val="00345A32"/>
    <w:rsid w:val="00346011"/>
    <w:rsid w:val="00347FFE"/>
    <w:rsid w:val="00353F64"/>
    <w:rsid w:val="0035736F"/>
    <w:rsid w:val="00366DC7"/>
    <w:rsid w:val="003817E4"/>
    <w:rsid w:val="0038277C"/>
    <w:rsid w:val="00382BF6"/>
    <w:rsid w:val="00383D03"/>
    <w:rsid w:val="003A40D1"/>
    <w:rsid w:val="003B005E"/>
    <w:rsid w:val="003C54A7"/>
    <w:rsid w:val="003D4A47"/>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84DC9"/>
    <w:rsid w:val="004B072D"/>
    <w:rsid w:val="004D45B8"/>
    <w:rsid w:val="004D49D1"/>
    <w:rsid w:val="004E7DE7"/>
    <w:rsid w:val="005041FE"/>
    <w:rsid w:val="0054151F"/>
    <w:rsid w:val="005621F1"/>
    <w:rsid w:val="005626E4"/>
    <w:rsid w:val="00566FE4"/>
    <w:rsid w:val="00572F62"/>
    <w:rsid w:val="00585651"/>
    <w:rsid w:val="005905D6"/>
    <w:rsid w:val="005B4089"/>
    <w:rsid w:val="005D7761"/>
    <w:rsid w:val="005E5435"/>
    <w:rsid w:val="00605EAE"/>
    <w:rsid w:val="00613E4C"/>
    <w:rsid w:val="00616271"/>
    <w:rsid w:val="00632305"/>
    <w:rsid w:val="00632B45"/>
    <w:rsid w:val="00637F01"/>
    <w:rsid w:val="006423E3"/>
    <w:rsid w:val="006668BD"/>
    <w:rsid w:val="006764F1"/>
    <w:rsid w:val="006B105E"/>
    <w:rsid w:val="006B60C7"/>
    <w:rsid w:val="006E40B8"/>
    <w:rsid w:val="0070793F"/>
    <w:rsid w:val="00727FAD"/>
    <w:rsid w:val="00730DDF"/>
    <w:rsid w:val="00737F54"/>
    <w:rsid w:val="00740E9D"/>
    <w:rsid w:val="007433F6"/>
    <w:rsid w:val="0075185E"/>
    <w:rsid w:val="007607A3"/>
    <w:rsid w:val="00791B70"/>
    <w:rsid w:val="007A3CB4"/>
    <w:rsid w:val="007A5D52"/>
    <w:rsid w:val="007C1D4D"/>
    <w:rsid w:val="007E20B3"/>
    <w:rsid w:val="007F6218"/>
    <w:rsid w:val="00806CA4"/>
    <w:rsid w:val="00811634"/>
    <w:rsid w:val="00811FD4"/>
    <w:rsid w:val="008128E0"/>
    <w:rsid w:val="0083197C"/>
    <w:rsid w:val="00833404"/>
    <w:rsid w:val="00834413"/>
    <w:rsid w:val="0084393C"/>
    <w:rsid w:val="0086634B"/>
    <w:rsid w:val="00867456"/>
    <w:rsid w:val="00873496"/>
    <w:rsid w:val="00882B11"/>
    <w:rsid w:val="00882FA0"/>
    <w:rsid w:val="008861DB"/>
    <w:rsid w:val="008872A5"/>
    <w:rsid w:val="00897B39"/>
    <w:rsid w:val="008B4979"/>
    <w:rsid w:val="008B5C0F"/>
    <w:rsid w:val="008B6009"/>
    <w:rsid w:val="008F5348"/>
    <w:rsid w:val="00901A07"/>
    <w:rsid w:val="00905856"/>
    <w:rsid w:val="009413EE"/>
    <w:rsid w:val="0095254A"/>
    <w:rsid w:val="0097128F"/>
    <w:rsid w:val="0098063A"/>
    <w:rsid w:val="009807CB"/>
    <w:rsid w:val="00982BBE"/>
    <w:rsid w:val="00994653"/>
    <w:rsid w:val="009C2EB7"/>
    <w:rsid w:val="009E36D8"/>
    <w:rsid w:val="009E7522"/>
    <w:rsid w:val="00A36537"/>
    <w:rsid w:val="00A51D7A"/>
    <w:rsid w:val="00A87538"/>
    <w:rsid w:val="00A979F3"/>
    <w:rsid w:val="00AA0A56"/>
    <w:rsid w:val="00AE0711"/>
    <w:rsid w:val="00AE4C22"/>
    <w:rsid w:val="00AE739C"/>
    <w:rsid w:val="00AF6141"/>
    <w:rsid w:val="00B0626A"/>
    <w:rsid w:val="00B1761F"/>
    <w:rsid w:val="00B230CD"/>
    <w:rsid w:val="00B24093"/>
    <w:rsid w:val="00B32CCA"/>
    <w:rsid w:val="00B64ACF"/>
    <w:rsid w:val="00B65801"/>
    <w:rsid w:val="00B8157B"/>
    <w:rsid w:val="00BA1CE5"/>
    <w:rsid w:val="00BA4F59"/>
    <w:rsid w:val="00BC2B35"/>
    <w:rsid w:val="00BC5206"/>
    <w:rsid w:val="00BD775F"/>
    <w:rsid w:val="00BE5D07"/>
    <w:rsid w:val="00BF5082"/>
    <w:rsid w:val="00BF5E1D"/>
    <w:rsid w:val="00C04A6D"/>
    <w:rsid w:val="00C14A8E"/>
    <w:rsid w:val="00C16BC6"/>
    <w:rsid w:val="00C36961"/>
    <w:rsid w:val="00C52FA9"/>
    <w:rsid w:val="00C53DF8"/>
    <w:rsid w:val="00C542A1"/>
    <w:rsid w:val="00C70A01"/>
    <w:rsid w:val="00C9716E"/>
    <w:rsid w:val="00CA4FDE"/>
    <w:rsid w:val="00CC0CF0"/>
    <w:rsid w:val="00CC602B"/>
    <w:rsid w:val="00CD6BA4"/>
    <w:rsid w:val="00CF46FA"/>
    <w:rsid w:val="00D00790"/>
    <w:rsid w:val="00D22A4B"/>
    <w:rsid w:val="00D25BAA"/>
    <w:rsid w:val="00D374FE"/>
    <w:rsid w:val="00D42058"/>
    <w:rsid w:val="00D42809"/>
    <w:rsid w:val="00D54A36"/>
    <w:rsid w:val="00D64B27"/>
    <w:rsid w:val="00D722D7"/>
    <w:rsid w:val="00D75BFF"/>
    <w:rsid w:val="00D80B70"/>
    <w:rsid w:val="00DB2AE2"/>
    <w:rsid w:val="00DF6DEC"/>
    <w:rsid w:val="00E024E9"/>
    <w:rsid w:val="00E06225"/>
    <w:rsid w:val="00E20918"/>
    <w:rsid w:val="00E30BC1"/>
    <w:rsid w:val="00E36D54"/>
    <w:rsid w:val="00E45C11"/>
    <w:rsid w:val="00E47291"/>
    <w:rsid w:val="00E710B5"/>
    <w:rsid w:val="00E72F23"/>
    <w:rsid w:val="00E83E78"/>
    <w:rsid w:val="00EC170D"/>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 TargetMode="External"/><Relationship Id="rId13" Type="http://schemas.openxmlformats.org/officeDocument/2006/relationships/hyperlink" Target="mailto:info@gretzcom.ch" TargetMode="External"/><Relationship Id="rId3" Type="http://schemas.openxmlformats.org/officeDocument/2006/relationships/settings" Target="settings.xml"/><Relationship Id="rId7" Type="http://schemas.openxmlformats.org/officeDocument/2006/relationships/hyperlink" Target="https://we.tl/t-d4mYZPYmtM" TargetMode="External"/><Relationship Id="rId12" Type="http://schemas.openxmlformats.org/officeDocument/2006/relationships/hyperlink" Target="http://www.youtube.com/GoTurkiye/vide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goturkiy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instagram.com/tuerkeitourismus/" TargetMode="External"/><Relationship Id="rId4" Type="http://schemas.openxmlformats.org/officeDocument/2006/relationships/webSettings" Target="webSettings.xml"/><Relationship Id="rId9" Type="http://schemas.openxmlformats.org/officeDocument/2006/relationships/hyperlink" Target="http://www.facebook.com/tuerkeitourismusCH" TargetMode="External"/><Relationship Id="rId14" Type="http://schemas.openxmlformats.org/officeDocument/2006/relationships/hyperlink" Target="https://goturkiy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4017</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Laura Fabbris (Gretz Communications AG)</cp:lastModifiedBy>
  <cp:revision>15</cp:revision>
  <cp:lastPrinted>2026-02-18T10:27:00Z</cp:lastPrinted>
  <dcterms:created xsi:type="dcterms:W3CDTF">2026-02-10T07:43:00Z</dcterms:created>
  <dcterms:modified xsi:type="dcterms:W3CDTF">2026-02-18T10:27:00Z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