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626E4" w:rsidRDefault="005626E4" w:rsidP="00454E7C">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29756860" w14:textId="77777777" w:rsidR="009270DE" w:rsidRPr="009270DE" w:rsidRDefault="009270DE" w:rsidP="009270DE">
      <w:pPr>
        <w:spacing w:after="0" w:line="360" w:lineRule="auto"/>
        <w:jc w:val="both"/>
        <w:rPr>
          <w:rFonts w:ascii="Arial" w:hAnsi="Arial" w:cs="Arial"/>
          <w:b/>
          <w:bCs/>
          <w:sz w:val="28"/>
          <w:szCs w:val="28"/>
          <w:lang w:val="de-CH"/>
        </w:rPr>
      </w:pPr>
      <w:r w:rsidRPr="009270DE">
        <w:rPr>
          <w:rFonts w:ascii="Arial" w:hAnsi="Arial" w:cs="Arial"/>
          <w:b/>
          <w:bCs/>
          <w:sz w:val="28"/>
          <w:szCs w:val="28"/>
          <w:lang w:val="de-CH"/>
        </w:rPr>
        <w:t>Bodrum, eine Traumdestination, wo der Luxus keine Grenzen kennt</w:t>
      </w:r>
    </w:p>
    <w:p w14:paraId="36D7F799" w14:textId="6A2DB4E1" w:rsidR="009270DE" w:rsidRPr="00874695" w:rsidRDefault="005626E4" w:rsidP="00B07D9B">
      <w:pPr>
        <w:spacing w:after="0" w:line="360" w:lineRule="auto"/>
        <w:jc w:val="both"/>
        <w:rPr>
          <w:rFonts w:ascii="Arial" w:hAnsi="Arial" w:cs="Arial"/>
          <w:b/>
          <w:bCs/>
          <w:lang w:val="de-CH"/>
        </w:rPr>
      </w:pPr>
      <w:r w:rsidRPr="00874695">
        <w:rPr>
          <w:rFonts w:ascii="Arial" w:hAnsi="Arial" w:cs="Arial"/>
          <w:b/>
          <w:bCs/>
          <w:lang w:val="de-CH"/>
        </w:rPr>
        <w:t xml:space="preserve">Bern, </w:t>
      </w:r>
      <w:r w:rsidR="009270DE">
        <w:rPr>
          <w:rFonts w:ascii="Arial" w:hAnsi="Arial" w:cs="Arial"/>
          <w:b/>
          <w:bCs/>
          <w:lang w:val="de-CH"/>
        </w:rPr>
        <w:t>11</w:t>
      </w:r>
      <w:r w:rsidR="009E7522" w:rsidRPr="00874695">
        <w:rPr>
          <w:rFonts w:ascii="Arial" w:hAnsi="Arial" w:cs="Arial"/>
          <w:b/>
          <w:bCs/>
          <w:lang w:val="de-CH"/>
        </w:rPr>
        <w:t>.</w:t>
      </w:r>
      <w:r w:rsidR="004557FB" w:rsidRPr="00874695">
        <w:rPr>
          <w:rFonts w:ascii="Arial" w:hAnsi="Arial" w:cs="Arial"/>
          <w:b/>
          <w:bCs/>
          <w:lang w:val="de-CH"/>
        </w:rPr>
        <w:t>0</w:t>
      </w:r>
      <w:r w:rsidR="00B07D9B" w:rsidRPr="00874695">
        <w:rPr>
          <w:rFonts w:ascii="Arial" w:hAnsi="Arial" w:cs="Arial"/>
          <w:b/>
          <w:bCs/>
          <w:lang w:val="de-CH"/>
        </w:rPr>
        <w:t>7</w:t>
      </w:r>
      <w:r w:rsidR="009E7522" w:rsidRPr="00874695">
        <w:rPr>
          <w:rFonts w:ascii="Arial" w:hAnsi="Arial" w:cs="Arial"/>
          <w:b/>
          <w:bCs/>
          <w:lang w:val="de-CH"/>
        </w:rPr>
        <w:t>.</w:t>
      </w:r>
      <w:r w:rsidRPr="00874695">
        <w:rPr>
          <w:rFonts w:ascii="Arial" w:hAnsi="Arial" w:cs="Arial"/>
          <w:b/>
          <w:bCs/>
          <w:lang w:val="de-CH"/>
        </w:rPr>
        <w:t>202</w:t>
      </w:r>
      <w:r w:rsidR="00DF6DEC" w:rsidRPr="00874695">
        <w:rPr>
          <w:rFonts w:ascii="Arial" w:hAnsi="Arial" w:cs="Arial"/>
          <w:b/>
          <w:bCs/>
          <w:lang w:val="de-CH"/>
        </w:rPr>
        <w:t>4</w:t>
      </w:r>
      <w:r w:rsidRPr="00874695">
        <w:rPr>
          <w:rFonts w:ascii="Arial" w:hAnsi="Arial" w:cs="Arial"/>
          <w:b/>
          <w:bCs/>
          <w:lang w:val="de-CH"/>
        </w:rPr>
        <w:t xml:space="preserve">. </w:t>
      </w:r>
      <w:r w:rsidR="009270DE" w:rsidRPr="009270DE">
        <w:rPr>
          <w:rFonts w:ascii="Arial" w:hAnsi="Arial" w:cs="Arial"/>
          <w:b/>
          <w:bCs/>
          <w:lang w:val="de-CH"/>
        </w:rPr>
        <w:t xml:space="preserve">Die üppige Halbinsel Bodrum, die sich zum funkelnden Ägäischen Meer hin öffnet, wurde vom antiken Dichter </w:t>
      </w:r>
      <w:proofErr w:type="gramStart"/>
      <w:r w:rsidR="009270DE" w:rsidRPr="009270DE">
        <w:rPr>
          <w:rFonts w:ascii="Arial" w:hAnsi="Arial" w:cs="Arial"/>
          <w:b/>
          <w:bCs/>
          <w:lang w:val="de-CH"/>
        </w:rPr>
        <w:t>Homer</w:t>
      </w:r>
      <w:proofErr w:type="gramEnd"/>
      <w:r w:rsidR="009270DE" w:rsidRPr="009270DE">
        <w:rPr>
          <w:rFonts w:ascii="Arial" w:hAnsi="Arial" w:cs="Arial"/>
          <w:b/>
          <w:bCs/>
          <w:lang w:val="de-CH"/>
        </w:rPr>
        <w:t xml:space="preserve"> als das «Paradies des ewigen Blaus» bezeichnet. Heute ist dieses aussergewöhnliche Ferienziel, bekannt als ägäisches Zentrum des guten Lebens, eine der beliebtesten Tourismusdestinationen der Türkei und die Geburtsstätte der Blauen Reise</w:t>
      </w:r>
      <w:r w:rsidR="009270DE">
        <w:rPr>
          <w:rFonts w:ascii="Arial" w:hAnsi="Arial" w:cs="Arial"/>
          <w:b/>
          <w:bCs/>
          <w:lang w:val="de-CH"/>
        </w:rPr>
        <w:t xml:space="preserve">. </w:t>
      </w:r>
    </w:p>
    <w:p w14:paraId="4B3DE474" w14:textId="77777777" w:rsidR="009270DE" w:rsidRPr="009270DE" w:rsidRDefault="009270DE" w:rsidP="009270DE">
      <w:pPr>
        <w:pStyle w:val="KeinLeerraum"/>
        <w:spacing w:line="360" w:lineRule="auto"/>
        <w:jc w:val="both"/>
        <w:rPr>
          <w:rFonts w:ascii="Arial" w:hAnsi="Arial" w:cs="Arial"/>
          <w:lang w:val="de-CH"/>
        </w:rPr>
      </w:pPr>
      <w:r w:rsidRPr="009270DE">
        <w:rPr>
          <w:rFonts w:ascii="Arial" w:hAnsi="Arial" w:cs="Arial"/>
          <w:lang w:val="de-CH"/>
        </w:rPr>
        <w:t>Bodrum, mittlerweile eine 'Premium-Destination', die von Prominenten besucht wird, beherbergt die exklusivsten Hotelketten der Welt, Beachclubs, Modemarken, mit Michelin-Sternen ausgezeichnete Restaurants, hochkarätige Marinas und Mega-Yachten. Kurz gesagt, Bodrum ist ein wahres 'Traumziel', in dem Luxus keine Grenzen kennt.</w:t>
      </w:r>
    </w:p>
    <w:p w14:paraId="3C3D5AF4" w14:textId="77777777" w:rsidR="009270DE" w:rsidRPr="009270DE" w:rsidRDefault="009270DE" w:rsidP="009270DE">
      <w:pPr>
        <w:pStyle w:val="KeinLeerraum"/>
        <w:spacing w:line="360" w:lineRule="auto"/>
        <w:jc w:val="both"/>
        <w:rPr>
          <w:rFonts w:ascii="Arial" w:hAnsi="Arial" w:cs="Arial"/>
          <w:b/>
          <w:bCs/>
        </w:rPr>
      </w:pPr>
      <w:r w:rsidRPr="009270DE">
        <w:rPr>
          <w:rFonts w:ascii="Arial" w:hAnsi="Arial" w:cs="Arial"/>
          <w:b/>
          <w:bCs/>
        </w:rPr>
        <w:t>Ewiges Blau</w:t>
      </w:r>
    </w:p>
    <w:p w14:paraId="18D71EF4"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r w:rsidRPr="009270DE">
        <w:rPr>
          <w:rFonts w:ascii="Arial" w:hAnsi="Arial" w:cs="Arial"/>
          <w:spacing w:val="3"/>
          <w:shd w:val="clear" w:color="auto" w:fill="FFFFFF"/>
          <w:lang w:val="de-CH"/>
        </w:rPr>
        <w:t xml:space="preserve">Die Geografie von Bodrum schafft eine aussergewöhnliche Natur – grosse und kleine funkelnde blaue Buchten, Strände mit der Blauen Flagge und mediterranen Sonnenschein. Das bezaubernde Bodrum ergänzt diese reine Schönheit mit einem Ethos, in dem jeder Komfort bedacht ist. Mit über einer Million internationalen Besuchern jährlich beherbergen Bodrums gehobene Hotels ebenso raffinierte Restaurants, die es den Gästen ermöglichen, jederzeit exquisites Essen zu geniessen. Zahlreiche VIP-Services – von Flughafentransfers bis hin zu privaten Stränden, Pools und </w:t>
      </w:r>
      <w:proofErr w:type="spellStart"/>
      <w:r w:rsidRPr="009270DE">
        <w:rPr>
          <w:rFonts w:ascii="Arial" w:hAnsi="Arial" w:cs="Arial"/>
          <w:spacing w:val="3"/>
          <w:shd w:val="clear" w:color="auto" w:fill="FFFFFF"/>
          <w:lang w:val="de-CH"/>
        </w:rPr>
        <w:t>Spas</w:t>
      </w:r>
      <w:proofErr w:type="spellEnd"/>
      <w:r w:rsidRPr="009270DE">
        <w:rPr>
          <w:rFonts w:ascii="Arial" w:hAnsi="Arial" w:cs="Arial"/>
          <w:spacing w:val="3"/>
          <w:shd w:val="clear" w:color="auto" w:fill="FFFFFF"/>
          <w:lang w:val="de-CH"/>
        </w:rPr>
        <w:t xml:space="preserve"> – stehen zur Verfügung, um ein unvergessliches Urlaubserlebnis zu gewährleisten. Gäste können sich entspannen und die goldenen Sandstrände, das klare türkisfarbene Wasser, die üppig grünen Landschaften und die köstlichen ägäischen Aromen geniessen.</w:t>
      </w:r>
    </w:p>
    <w:p w14:paraId="0FCB4817" w14:textId="77777777" w:rsidR="009270DE" w:rsidRPr="009270DE" w:rsidRDefault="009270DE" w:rsidP="009270DE">
      <w:pPr>
        <w:pStyle w:val="KeinLeerraum"/>
        <w:spacing w:line="360" w:lineRule="auto"/>
        <w:jc w:val="both"/>
        <w:rPr>
          <w:rFonts w:ascii="Arial" w:hAnsi="Arial" w:cs="Arial"/>
          <w:b/>
          <w:bCs/>
          <w:lang w:val="de-CH"/>
        </w:rPr>
      </w:pPr>
    </w:p>
    <w:p w14:paraId="04995ED8" w14:textId="77777777" w:rsidR="009270DE" w:rsidRPr="009270DE" w:rsidRDefault="009270DE" w:rsidP="009270DE">
      <w:pPr>
        <w:pStyle w:val="KeinLeerraum"/>
        <w:spacing w:line="360" w:lineRule="auto"/>
        <w:jc w:val="both"/>
        <w:rPr>
          <w:rFonts w:ascii="Arial" w:hAnsi="Arial" w:cs="Arial"/>
          <w:b/>
          <w:bCs/>
        </w:rPr>
      </w:pPr>
      <w:r w:rsidRPr="009270DE">
        <w:rPr>
          <w:rFonts w:ascii="Arial" w:hAnsi="Arial" w:cs="Arial"/>
          <w:b/>
          <w:bCs/>
        </w:rPr>
        <w:t>Türkische Weine mit Michelin-Delikatessen</w:t>
      </w:r>
    </w:p>
    <w:p w14:paraId="0AD838B3"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r w:rsidRPr="009270DE">
        <w:rPr>
          <w:rFonts w:ascii="Arial" w:hAnsi="Arial" w:cs="Arial"/>
          <w:spacing w:val="3"/>
          <w:shd w:val="clear" w:color="auto" w:fill="FFFFFF"/>
          <w:lang w:val="de-CH"/>
        </w:rPr>
        <w:t xml:space="preserve">Bodrums vielfältige Speise- und Unterhaltungsmöglichkeiten sind entscheidende Faktoren für das Aufsteigen der Region zu einem der weltweit begehrtesten Reiseziele. Man kann sein Boot in atemberaubenden, gut ausgestatteten Marinas festmachen und eine Gastrostadt betreten, die das Beste der türkischen und internationalen Küche bietet: Tintenfisch, Fisch und andere frische Meeresfrüchte, exzellente ägäische Olivenöle und köstliche türkische Weine erwarten die Gäste in Bodrum, das seit letztem Jahr im Michelin-Führer verzeichnet ist. Nach dem Essen kann man die Bars und Nachtclubs von Bodrum geniessen, die für ihr lebhaftes, von Stars geprägtes Nachtleben bekannt sind. Prächtige Gulets, die Holzjachten, die typisch für das türkische Bodrum sind, durchqueren die Buchten der Halbinsel auf den berühmten Blauen Reisen. Dabei können die </w:t>
      </w:r>
      <w:r w:rsidRPr="009270DE">
        <w:rPr>
          <w:rFonts w:ascii="Arial" w:hAnsi="Arial" w:cs="Arial"/>
          <w:spacing w:val="3"/>
          <w:shd w:val="clear" w:color="auto" w:fill="FFFFFF"/>
          <w:lang w:val="de-CH"/>
        </w:rPr>
        <w:lastRenderedPageBreak/>
        <w:t xml:space="preserve">Gäste Buchten wie </w:t>
      </w:r>
      <w:proofErr w:type="spellStart"/>
      <w:r w:rsidRPr="009270DE">
        <w:rPr>
          <w:rFonts w:ascii="Arial" w:hAnsi="Arial" w:cs="Arial"/>
          <w:i/>
          <w:iCs/>
          <w:spacing w:val="3"/>
          <w:shd w:val="clear" w:color="auto" w:fill="FFFFFF"/>
          <w:lang w:val="de-CH"/>
        </w:rPr>
        <w:t>Bitez</w:t>
      </w:r>
      <w:proofErr w:type="spellEnd"/>
      <w:r w:rsidRPr="009270DE">
        <w:rPr>
          <w:rFonts w:ascii="Arial" w:hAnsi="Arial" w:cs="Arial"/>
          <w:spacing w:val="3"/>
          <w:shd w:val="clear" w:color="auto" w:fill="FFFFFF"/>
          <w:lang w:val="de-CH"/>
        </w:rPr>
        <w:t xml:space="preserve">, </w:t>
      </w:r>
      <w:proofErr w:type="spellStart"/>
      <w:r w:rsidRPr="009270DE">
        <w:rPr>
          <w:rFonts w:ascii="Arial" w:hAnsi="Arial" w:cs="Arial"/>
          <w:i/>
          <w:iCs/>
          <w:spacing w:val="3"/>
          <w:shd w:val="clear" w:color="auto" w:fill="FFFFFF"/>
          <w:lang w:val="de-CH"/>
        </w:rPr>
        <w:t>Gümbet</w:t>
      </w:r>
      <w:proofErr w:type="spellEnd"/>
      <w:r w:rsidRPr="009270DE">
        <w:rPr>
          <w:rFonts w:ascii="Arial" w:hAnsi="Arial" w:cs="Arial"/>
          <w:spacing w:val="3"/>
          <w:shd w:val="clear" w:color="auto" w:fill="FFFFFF"/>
          <w:lang w:val="de-CH"/>
        </w:rPr>
        <w:t xml:space="preserve"> </w:t>
      </w:r>
      <w:r w:rsidRPr="009270DE">
        <w:rPr>
          <w:rFonts w:ascii="Arial" w:hAnsi="Arial" w:cs="Arial"/>
          <w:i/>
          <w:iCs/>
          <w:spacing w:val="3"/>
          <w:shd w:val="clear" w:color="auto" w:fill="FFFFFF"/>
          <w:lang w:val="de-CH"/>
        </w:rPr>
        <w:t>und</w:t>
      </w:r>
      <w:r w:rsidRPr="009270DE">
        <w:rPr>
          <w:rFonts w:ascii="Arial" w:hAnsi="Arial" w:cs="Arial"/>
          <w:spacing w:val="3"/>
          <w:shd w:val="clear" w:color="auto" w:fill="FFFFFF"/>
          <w:lang w:val="de-CH"/>
        </w:rPr>
        <w:t xml:space="preserve"> </w:t>
      </w:r>
      <w:proofErr w:type="spellStart"/>
      <w:r w:rsidRPr="009270DE">
        <w:rPr>
          <w:rFonts w:ascii="Arial" w:hAnsi="Arial" w:cs="Arial"/>
          <w:i/>
          <w:iCs/>
          <w:spacing w:val="3"/>
          <w:shd w:val="clear" w:color="auto" w:fill="FFFFFF"/>
          <w:lang w:val="de-CH"/>
        </w:rPr>
        <w:t>Yalıkavak</w:t>
      </w:r>
      <w:proofErr w:type="spellEnd"/>
      <w:r w:rsidRPr="009270DE">
        <w:rPr>
          <w:rFonts w:ascii="Arial" w:hAnsi="Arial" w:cs="Arial"/>
          <w:spacing w:val="3"/>
          <w:shd w:val="clear" w:color="auto" w:fill="FFFFFF"/>
          <w:lang w:val="de-CH"/>
        </w:rPr>
        <w:t xml:space="preserve"> erkunden und sich Aktivitäten wie Windsurfen, Tauchen und natürlich dem Sonnenuntergang-</w:t>
      </w:r>
      <w:proofErr w:type="spellStart"/>
      <w:r w:rsidRPr="009270DE">
        <w:rPr>
          <w:rFonts w:ascii="Arial" w:hAnsi="Arial" w:cs="Arial"/>
          <w:spacing w:val="3"/>
          <w:shd w:val="clear" w:color="auto" w:fill="FFFFFF"/>
          <w:lang w:val="de-CH"/>
        </w:rPr>
        <w:t>Watching</w:t>
      </w:r>
      <w:proofErr w:type="spellEnd"/>
      <w:r w:rsidRPr="009270DE">
        <w:rPr>
          <w:rFonts w:ascii="Arial" w:hAnsi="Arial" w:cs="Arial"/>
          <w:spacing w:val="3"/>
          <w:shd w:val="clear" w:color="auto" w:fill="FFFFFF"/>
          <w:lang w:val="de-CH"/>
        </w:rPr>
        <w:t xml:space="preserve"> hingeben.</w:t>
      </w:r>
    </w:p>
    <w:p w14:paraId="2403CF4B"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p>
    <w:p w14:paraId="413446CA" w14:textId="77777777" w:rsidR="009270DE" w:rsidRPr="009270DE" w:rsidRDefault="009270DE" w:rsidP="009270DE">
      <w:pPr>
        <w:pStyle w:val="KeinLeerraum"/>
        <w:spacing w:line="360" w:lineRule="auto"/>
        <w:jc w:val="both"/>
        <w:rPr>
          <w:rFonts w:ascii="Arial" w:hAnsi="Arial" w:cs="Arial"/>
          <w:b/>
          <w:bCs/>
        </w:rPr>
      </w:pPr>
      <w:r w:rsidRPr="009270DE">
        <w:rPr>
          <w:rFonts w:ascii="Arial" w:hAnsi="Arial" w:cs="Arial"/>
          <w:b/>
          <w:bCs/>
        </w:rPr>
        <w:t>Bodrum und ein Weltwunder</w:t>
      </w:r>
    </w:p>
    <w:p w14:paraId="0D8C855C"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r w:rsidRPr="009270DE">
        <w:rPr>
          <w:rFonts w:ascii="Arial" w:hAnsi="Arial" w:cs="Arial"/>
          <w:spacing w:val="3"/>
          <w:shd w:val="clear" w:color="auto" w:fill="FFFFFF"/>
          <w:lang w:val="de-CH"/>
        </w:rPr>
        <w:t>Bodrum bietet eine verlockende Kombination aus prestigeträchtigen Marken und Boutique-Shops neben authentischen lokalen Produkten auf dem Bodrum-Basar. Unbedingt zu anzuprobieren sind die Bodrum-Sandalen an, die seit Jahrhunderten auf die gleiche Weise hergestellt werden.</w:t>
      </w:r>
    </w:p>
    <w:p w14:paraId="62E4C2F5"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p>
    <w:p w14:paraId="7D18151B"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r w:rsidRPr="009270DE">
        <w:rPr>
          <w:rFonts w:ascii="Arial" w:hAnsi="Arial" w:cs="Arial"/>
          <w:spacing w:val="3"/>
          <w:shd w:val="clear" w:color="auto" w:fill="FFFFFF"/>
          <w:lang w:val="de-CH"/>
        </w:rPr>
        <w:t xml:space="preserve">Nach dem Geniessen des Meeres-Sonne-Sand-Zaubers von Bodrum können Sie historische Stätten in einer dreitausend Jahre alten Stadt besuchen, die von Mandarinenbäumen und Bougainvillea durchduftet ist – die Ruinen des </w:t>
      </w:r>
      <w:r w:rsidRPr="009270DE">
        <w:rPr>
          <w:rFonts w:ascii="Arial" w:hAnsi="Arial" w:cs="Arial"/>
          <w:b/>
          <w:bCs/>
          <w:i/>
          <w:iCs/>
          <w:spacing w:val="3"/>
          <w:shd w:val="clear" w:color="auto" w:fill="FFFFFF"/>
          <w:lang w:val="de-CH"/>
        </w:rPr>
        <w:t>Mausoleums von Halikarnassos</w:t>
      </w:r>
      <w:r w:rsidRPr="009270DE">
        <w:rPr>
          <w:rFonts w:ascii="Arial" w:hAnsi="Arial" w:cs="Arial"/>
          <w:spacing w:val="3"/>
          <w:shd w:val="clear" w:color="auto" w:fill="FFFFFF"/>
          <w:lang w:val="de-CH"/>
        </w:rPr>
        <w:t xml:space="preserve">, einst eines der Sieben Weltwunder der Antike. Darüber hinaus können die emblematischen Windmühlen von Bodrum, das berühmte </w:t>
      </w:r>
      <w:r w:rsidRPr="009270DE">
        <w:rPr>
          <w:rFonts w:ascii="Arial" w:hAnsi="Arial" w:cs="Arial"/>
          <w:b/>
          <w:bCs/>
          <w:i/>
          <w:iCs/>
          <w:spacing w:val="3"/>
          <w:shd w:val="clear" w:color="auto" w:fill="FFFFFF"/>
          <w:lang w:val="de-CH"/>
        </w:rPr>
        <w:t>Bodrum-Schloss</w:t>
      </w:r>
      <w:r w:rsidRPr="009270DE">
        <w:rPr>
          <w:rFonts w:ascii="Arial" w:hAnsi="Arial" w:cs="Arial"/>
          <w:spacing w:val="3"/>
          <w:shd w:val="clear" w:color="auto" w:fill="FFFFFF"/>
          <w:lang w:val="de-CH"/>
        </w:rPr>
        <w:t xml:space="preserve"> aus dem 15. Jahrhundert, das von den Rittern von Rhodos errichtet wurde, und das </w:t>
      </w:r>
      <w:r w:rsidRPr="009270DE">
        <w:rPr>
          <w:rFonts w:ascii="Arial" w:hAnsi="Arial" w:cs="Arial"/>
          <w:b/>
          <w:bCs/>
          <w:i/>
          <w:iCs/>
          <w:spacing w:val="3"/>
          <w:shd w:val="clear" w:color="auto" w:fill="FFFFFF"/>
          <w:lang w:val="de-CH"/>
        </w:rPr>
        <w:t>Bodrum Museum für Unterwasserarchäologie</w:t>
      </w:r>
      <w:r w:rsidRPr="009270DE">
        <w:rPr>
          <w:rFonts w:ascii="Arial" w:hAnsi="Arial" w:cs="Arial"/>
          <w:spacing w:val="3"/>
          <w:shd w:val="clear" w:color="auto" w:fill="FFFFFF"/>
          <w:lang w:val="de-CH"/>
        </w:rPr>
        <w:t xml:space="preserve"> im Inneren des Schlosses besichtigt werden.</w:t>
      </w:r>
    </w:p>
    <w:p w14:paraId="1FEEA06D" w14:textId="77777777" w:rsidR="009270DE" w:rsidRPr="009270DE" w:rsidRDefault="009270DE" w:rsidP="009270DE">
      <w:pPr>
        <w:pStyle w:val="KeinLeerraum"/>
        <w:spacing w:line="360" w:lineRule="auto"/>
        <w:jc w:val="both"/>
        <w:rPr>
          <w:rFonts w:ascii="Arial" w:hAnsi="Arial" w:cs="Arial"/>
          <w:spacing w:val="3"/>
          <w:shd w:val="clear" w:color="auto" w:fill="FFFFFF"/>
          <w:lang w:val="de-CH"/>
        </w:rPr>
      </w:pPr>
    </w:p>
    <w:p w14:paraId="208D3391" w14:textId="77777777" w:rsidR="009270DE" w:rsidRPr="009270DE" w:rsidRDefault="009270DE" w:rsidP="009270DE">
      <w:pPr>
        <w:pStyle w:val="KeinLeerraum"/>
        <w:spacing w:line="360" w:lineRule="auto"/>
        <w:jc w:val="both"/>
        <w:rPr>
          <w:rFonts w:ascii="Arial" w:hAnsi="Arial" w:cs="Arial"/>
        </w:rPr>
      </w:pPr>
      <w:r w:rsidRPr="009270DE">
        <w:rPr>
          <w:rFonts w:ascii="Arial" w:hAnsi="Arial" w:cs="Arial"/>
          <w:spacing w:val="3"/>
          <w:shd w:val="clear" w:color="auto" w:fill="FFFFFF"/>
          <w:lang w:val="de-CH"/>
        </w:rPr>
        <w:t xml:space="preserve">Wenn die Zeit es zulässt, können Sie vom Ägäischen Meer in die Gewässer des Mittelmeers segeln und die Schönheiten der </w:t>
      </w:r>
      <w:proofErr w:type="spellStart"/>
      <w:r w:rsidRPr="009270DE">
        <w:rPr>
          <w:rFonts w:ascii="Arial" w:hAnsi="Arial" w:cs="Arial"/>
          <w:spacing w:val="3"/>
          <w:shd w:val="clear" w:color="auto" w:fill="FFFFFF"/>
          <w:lang w:val="de-CH"/>
        </w:rPr>
        <w:t>Türkischen</w:t>
      </w:r>
      <w:proofErr w:type="spellEnd"/>
      <w:r w:rsidRPr="009270DE">
        <w:rPr>
          <w:rFonts w:ascii="Arial" w:hAnsi="Arial" w:cs="Arial"/>
          <w:spacing w:val="3"/>
          <w:shd w:val="clear" w:color="auto" w:fill="FFFFFF"/>
          <w:lang w:val="de-CH"/>
        </w:rPr>
        <w:t xml:space="preserve"> Riviera entdecken. Um der Reise Kunst und Kultur hinzuzufügen, empfiehlt sich ein Besuch einer Aufführung des 21. Internationalen Bodrum Ballettfestivals, das dieses Jahr vom 3. bis 22. August auf der Bühne des berühmten Bodrum-Schlosses stattfindet.</w:t>
      </w:r>
    </w:p>
    <w:p w14:paraId="311C2C47" w14:textId="14685F39" w:rsidR="003F7404" w:rsidRPr="003F7404" w:rsidRDefault="003F7404" w:rsidP="00324B8F">
      <w:pPr>
        <w:pStyle w:val="KeinLeerraum"/>
        <w:spacing w:after="120" w:line="300" w:lineRule="exact"/>
        <w:jc w:val="both"/>
        <w:rPr>
          <w:rFonts w:ascii="Arial" w:eastAsia="Times New Roman" w:hAnsi="Arial" w:cs="Arial"/>
          <w:lang w:val="de-CH"/>
        </w:rPr>
      </w:pPr>
      <w:r w:rsidRPr="003F7404">
        <w:rPr>
          <w:rFonts w:ascii="Arial" w:eastAsia="Times New Roman" w:hAnsi="Arial" w:cs="Arial"/>
          <w:lang w:val="de-CH"/>
        </w:rPr>
        <w:t xml:space="preserve">Bilder inklusive Copyrights finden Sie </w:t>
      </w:r>
      <w:hyperlink r:id="rId7" w:history="1">
        <w:r w:rsidRPr="005F7A53">
          <w:rPr>
            <w:rStyle w:val="Hyperlink"/>
            <w:rFonts w:ascii="Arial" w:eastAsia="Times New Roman" w:hAnsi="Arial" w:cs="Arial"/>
            <w:lang w:val="de-CH"/>
          </w:rPr>
          <w:t>hier</w:t>
        </w:r>
      </w:hyperlink>
      <w:r w:rsidRPr="005F7A53">
        <w:rPr>
          <w:rFonts w:ascii="Arial" w:eastAsia="Times New Roman" w:hAnsi="Arial" w:cs="Arial"/>
          <w:lang w:val="de-CH"/>
        </w:rPr>
        <w:t>.</w:t>
      </w:r>
    </w:p>
    <w:p w14:paraId="3BAA72BD" w14:textId="77777777" w:rsidR="00D22A4B" w:rsidRPr="00D22A4B" w:rsidRDefault="00D22A4B" w:rsidP="005626E4">
      <w:pPr>
        <w:pStyle w:val="KeinLeerraum"/>
        <w:spacing w:after="120" w:line="300" w:lineRule="exact"/>
        <w:jc w:val="both"/>
        <w:rPr>
          <w:rFonts w:ascii="Arial" w:eastAsia="Times New Roman" w:hAnsi="Arial" w:cs="Arial"/>
          <w:lang w:val="de-CH"/>
        </w:rPr>
      </w:pPr>
    </w:p>
    <w:p w14:paraId="1A4EDE59" w14:textId="41D24B95" w:rsidR="005626E4" w:rsidRPr="00027D53" w:rsidRDefault="005626E4" w:rsidP="005626E4">
      <w:pPr>
        <w:pStyle w:val="KeinLeerraum"/>
        <w:spacing w:after="120" w:line="300" w:lineRule="exact"/>
        <w:jc w:val="both"/>
        <w:rPr>
          <w:rFonts w:ascii="Arial" w:hAnsi="Arial" w:cs="Arial"/>
          <w:b/>
          <w:bCs/>
          <w:lang w:val="en-CA"/>
        </w:rPr>
      </w:pPr>
      <w:r w:rsidRPr="00027D53">
        <w:rPr>
          <w:rFonts w:ascii="Arial" w:hAnsi="Arial" w:cs="Arial"/>
          <w:b/>
          <w:bCs/>
          <w:lang w:val="en-CA"/>
        </w:rPr>
        <w:t xml:space="preserve">Social Media </w:t>
      </w:r>
    </w:p>
    <w:p w14:paraId="5EB4B068" w14:textId="77777777" w:rsidR="005626E4" w:rsidRPr="00027D53" w:rsidRDefault="005626E4" w:rsidP="005626E4">
      <w:pPr>
        <w:pStyle w:val="KeinLeerraum"/>
        <w:spacing w:after="120" w:line="300" w:lineRule="exact"/>
        <w:jc w:val="both"/>
        <w:rPr>
          <w:rFonts w:ascii="Arial" w:hAnsi="Arial" w:cs="Arial"/>
          <w:lang w:val="en-CA"/>
        </w:rPr>
      </w:pPr>
      <w:r w:rsidRPr="00027D53">
        <w:rPr>
          <w:rFonts w:ascii="Arial" w:hAnsi="Arial" w:cs="Arial"/>
          <w:lang w:val="en-CA"/>
        </w:rPr>
        <w:t xml:space="preserve">Website: </w:t>
      </w:r>
      <w:hyperlink r:id="rId8" w:history="1">
        <w:r w:rsidRPr="00027D53">
          <w:rPr>
            <w:rStyle w:val="Hyperlink"/>
            <w:rFonts w:ascii="Arial" w:hAnsi="Arial" w:cs="Arial"/>
            <w:lang w:val="en-CA"/>
          </w:rPr>
          <w:t>goturkiye.com/</w:t>
        </w:r>
      </w:hyperlink>
      <w:r w:rsidRPr="00027D53">
        <w:rPr>
          <w:rFonts w:ascii="Arial" w:hAnsi="Arial" w:cs="Arial"/>
          <w:lang w:val="en-CA"/>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9"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B07D9B" w:rsidRDefault="005626E4" w:rsidP="005626E4">
      <w:pPr>
        <w:pStyle w:val="KeinLeerraum"/>
        <w:spacing w:after="120" w:line="300" w:lineRule="exact"/>
        <w:jc w:val="both"/>
        <w:rPr>
          <w:rFonts w:ascii="Arial" w:hAnsi="Arial" w:cs="Arial"/>
          <w:lang w:val="de-CH"/>
        </w:rPr>
      </w:pPr>
      <w:r w:rsidRPr="00B07D9B">
        <w:rPr>
          <w:rFonts w:ascii="Arial" w:hAnsi="Arial" w:cs="Arial"/>
          <w:lang w:val="de-CH"/>
        </w:rPr>
        <w:t xml:space="preserve">Instagram: </w:t>
      </w:r>
      <w:hyperlink r:id="rId10" w:history="1">
        <w:r w:rsidRPr="00B07D9B">
          <w:rPr>
            <w:rStyle w:val="Hyperlink"/>
            <w:rFonts w:ascii="Arial" w:hAnsi="Arial" w:cs="Arial"/>
            <w:lang w:val="de-CH"/>
          </w:rPr>
          <w:t>www.instagram.com/tuerkeitourismus/</w:t>
        </w:r>
      </w:hyperlink>
      <w:r w:rsidRPr="00B07D9B">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1" w:history="1">
        <w:r w:rsidRPr="00CE4C47">
          <w:rPr>
            <w:rStyle w:val="Hyperlink"/>
            <w:rFonts w:ascii="Arial" w:hAnsi="Arial" w:cs="Arial"/>
            <w:lang w:val="en-US"/>
          </w:rPr>
          <w:t>twitter.com/</w:t>
        </w:r>
        <w:proofErr w:type="spellStart"/>
        <w:r w:rsidRPr="00CE4C47">
          <w:rPr>
            <w:rStyle w:val="Hyperlink"/>
            <w:rFonts w:ascii="Arial" w:hAnsi="Arial" w:cs="Arial"/>
            <w:lang w:val="en-US"/>
          </w:rPr>
          <w:t>goturkiye</w:t>
        </w:r>
        <w:proofErr w:type="spellEnd"/>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2"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w:t>
      </w:r>
      <w:proofErr w:type="gramStart"/>
      <w:r w:rsidRPr="00030A79">
        <w:rPr>
          <w:rFonts w:ascii="Arial" w:hAnsi="Arial" w:cs="Arial"/>
          <w:sz w:val="20"/>
          <w:lang w:val="de-CH"/>
        </w:rPr>
        <w:t>email</w:t>
      </w:r>
      <w:proofErr w:type="gramEnd"/>
      <w:r w:rsidRPr="00030A79">
        <w:rPr>
          <w:rFonts w:ascii="Arial" w:hAnsi="Arial" w:cs="Arial"/>
          <w:sz w:val="20"/>
          <w:lang w:val="de-CH"/>
        </w:rPr>
        <w:t xml:space="preserve">: </w:t>
      </w:r>
      <w:hyperlink r:id="rId13"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4"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B97AFE">
        <w:rPr>
          <w:rFonts w:ascii="Arial" w:eastAsia="Calibri" w:hAnsi="Arial" w:cs="Arial"/>
          <w:sz w:val="16"/>
          <w:szCs w:val="16"/>
          <w:lang w:val="de-CH"/>
        </w:rPr>
        <w:t>Mausolos</w:t>
      </w:r>
      <w:proofErr w:type="spellEnd"/>
      <w:r w:rsidRPr="00B97AF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81735"/>
    <w:rsid w:val="00182B6D"/>
    <w:rsid w:val="00190220"/>
    <w:rsid w:val="00214B07"/>
    <w:rsid w:val="0022738B"/>
    <w:rsid w:val="00234909"/>
    <w:rsid w:val="002415CB"/>
    <w:rsid w:val="002437A8"/>
    <w:rsid w:val="00281A4D"/>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557FB"/>
    <w:rsid w:val="00484DC9"/>
    <w:rsid w:val="004B072D"/>
    <w:rsid w:val="004D49D1"/>
    <w:rsid w:val="004E7DE7"/>
    <w:rsid w:val="005041FE"/>
    <w:rsid w:val="0054151F"/>
    <w:rsid w:val="0055258B"/>
    <w:rsid w:val="005621F1"/>
    <w:rsid w:val="005626E4"/>
    <w:rsid w:val="00566FE4"/>
    <w:rsid w:val="00572F62"/>
    <w:rsid w:val="00585651"/>
    <w:rsid w:val="005B4089"/>
    <w:rsid w:val="005D7761"/>
    <w:rsid w:val="005E5435"/>
    <w:rsid w:val="005F7A53"/>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5185E"/>
    <w:rsid w:val="007607A3"/>
    <w:rsid w:val="00791B70"/>
    <w:rsid w:val="007A3CB4"/>
    <w:rsid w:val="007A5D52"/>
    <w:rsid w:val="007C1D4D"/>
    <w:rsid w:val="007E20B3"/>
    <w:rsid w:val="007F6218"/>
    <w:rsid w:val="00806CA4"/>
    <w:rsid w:val="00811634"/>
    <w:rsid w:val="00811FD4"/>
    <w:rsid w:val="008128E0"/>
    <w:rsid w:val="0081458E"/>
    <w:rsid w:val="00833404"/>
    <w:rsid w:val="00834413"/>
    <w:rsid w:val="0086634B"/>
    <w:rsid w:val="00873496"/>
    <w:rsid w:val="00874695"/>
    <w:rsid w:val="00882B11"/>
    <w:rsid w:val="008872A5"/>
    <w:rsid w:val="00897B39"/>
    <w:rsid w:val="008B5C0F"/>
    <w:rsid w:val="008B6009"/>
    <w:rsid w:val="00901A07"/>
    <w:rsid w:val="00905856"/>
    <w:rsid w:val="009270DE"/>
    <w:rsid w:val="009413EE"/>
    <w:rsid w:val="0095254A"/>
    <w:rsid w:val="0097128F"/>
    <w:rsid w:val="0098063A"/>
    <w:rsid w:val="009807CB"/>
    <w:rsid w:val="00982BBE"/>
    <w:rsid w:val="009C2EB7"/>
    <w:rsid w:val="009E36D8"/>
    <w:rsid w:val="009E7522"/>
    <w:rsid w:val="00A36537"/>
    <w:rsid w:val="00A51D7A"/>
    <w:rsid w:val="00A87538"/>
    <w:rsid w:val="00AA0A56"/>
    <w:rsid w:val="00AE739C"/>
    <w:rsid w:val="00AF6141"/>
    <w:rsid w:val="00B07D9B"/>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0178"/>
    <w:rsid w:val="00D374FE"/>
    <w:rsid w:val="00D42809"/>
    <w:rsid w:val="00D54A36"/>
    <w:rsid w:val="00D722D7"/>
    <w:rsid w:val="00D80B70"/>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docs.tga.gov.tr/a1ud828i"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4919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28</cp:revision>
  <dcterms:created xsi:type="dcterms:W3CDTF">2023-04-17T06:44:00Z</dcterms:created>
  <dcterms:modified xsi:type="dcterms:W3CDTF">2024-08-07T15:02:00Z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