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C8ED5" w14:textId="77777777" w:rsidR="001C1053" w:rsidRPr="00C57B30" w:rsidRDefault="001C1053" w:rsidP="001C1053">
      <w:pPr>
        <w:pStyle w:val="berschrift1"/>
        <w:spacing w:before="0" w:line="276" w:lineRule="auto"/>
        <w:rPr>
          <w:sz w:val="24"/>
          <w:szCs w:val="24"/>
          <w:lang w:val="de-CH"/>
        </w:rPr>
      </w:pPr>
      <w:r w:rsidRPr="00C57B30">
        <w:rPr>
          <w:sz w:val="24"/>
          <w:szCs w:val="24"/>
          <w:lang w:val="de-CH"/>
        </w:rPr>
        <w:t>Medienmitteilung</w:t>
      </w:r>
    </w:p>
    <w:p w14:paraId="2EE04416" w14:textId="4D3908CA" w:rsidR="002928F1" w:rsidRPr="002928F1" w:rsidRDefault="002928F1" w:rsidP="00DB4466">
      <w:pPr>
        <w:spacing w:before="40" w:line="360" w:lineRule="auto"/>
        <w:ind w:right="-144"/>
        <w:jc w:val="both"/>
        <w:rPr>
          <w:rFonts w:eastAsia="Times New Roman"/>
          <w:b/>
          <w:bCs/>
          <w:kern w:val="1"/>
          <w:sz w:val="32"/>
          <w:szCs w:val="32"/>
        </w:rPr>
      </w:pPr>
      <w:r w:rsidRPr="002928F1">
        <w:rPr>
          <w:rFonts w:eastAsia="Times New Roman"/>
          <w:b/>
          <w:bCs/>
          <w:kern w:val="1"/>
          <w:sz w:val="32"/>
          <w:szCs w:val="32"/>
        </w:rPr>
        <w:t>Montreux Jazz Festival 2024: Waadtländer Weine mit Musik</w:t>
      </w:r>
    </w:p>
    <w:p w14:paraId="220108B4" w14:textId="1EDEEB4C" w:rsidR="002928F1" w:rsidRDefault="00BE06C5" w:rsidP="004E22F5">
      <w:pPr>
        <w:spacing w:line="276" w:lineRule="auto"/>
        <w:jc w:val="both"/>
        <w:rPr>
          <w:rFonts w:cs="Arial"/>
          <w:b/>
          <w:bCs/>
        </w:rPr>
      </w:pPr>
      <w:r w:rsidRPr="002928F1">
        <w:rPr>
          <w:rFonts w:cs="Arial"/>
          <w:b/>
          <w:bCs/>
        </w:rPr>
        <w:t>Bern/Lausanne</w:t>
      </w:r>
      <w:r w:rsidR="00110BF1" w:rsidRPr="002928F1">
        <w:rPr>
          <w:rFonts w:cs="Arial"/>
          <w:b/>
          <w:bCs/>
        </w:rPr>
        <w:t xml:space="preserve">, </w:t>
      </w:r>
      <w:r w:rsidR="00A75C9A" w:rsidRPr="002928F1">
        <w:rPr>
          <w:rFonts w:cs="Arial"/>
          <w:b/>
          <w:bCs/>
        </w:rPr>
        <w:t>20</w:t>
      </w:r>
      <w:r w:rsidR="002928F1">
        <w:rPr>
          <w:rFonts w:cs="Arial"/>
          <w:b/>
          <w:bCs/>
        </w:rPr>
        <w:t>.</w:t>
      </w:r>
      <w:r w:rsidR="00070B54" w:rsidRPr="002928F1">
        <w:rPr>
          <w:rFonts w:cs="Arial"/>
          <w:b/>
          <w:bCs/>
        </w:rPr>
        <w:t xml:space="preserve"> </w:t>
      </w:r>
      <w:r w:rsidR="002928F1">
        <w:rPr>
          <w:rFonts w:cs="Arial"/>
          <w:b/>
          <w:bCs/>
        </w:rPr>
        <w:t>Juni</w:t>
      </w:r>
      <w:r w:rsidRPr="002928F1">
        <w:rPr>
          <w:rFonts w:cs="Arial"/>
          <w:b/>
          <w:bCs/>
        </w:rPr>
        <w:t xml:space="preserve"> 2024.</w:t>
      </w:r>
      <w:r w:rsidR="00486023" w:rsidRPr="002928F1">
        <w:rPr>
          <w:rFonts w:cs="Arial"/>
          <w:b/>
          <w:bCs/>
        </w:rPr>
        <w:t xml:space="preserve"> </w:t>
      </w:r>
      <w:r w:rsidR="002928F1">
        <w:rPr>
          <w:rFonts w:cs="Arial"/>
          <w:b/>
          <w:bCs/>
        </w:rPr>
        <w:t>Als langjähriger Partner der Veranstaltung wird das Office des Vins Vaudois auch dieses Jahr wieder im Zentrum der Feierlichkeiten des Montreux Jazz Festivals stehen. Vom 5. bis 20. Juli 2024 können Festivalbesuchende die Vielfalt der Waadtländer Weine</w:t>
      </w:r>
      <w:r w:rsidR="000B11D3">
        <w:rPr>
          <w:rFonts w:cs="Arial"/>
          <w:b/>
          <w:bCs/>
        </w:rPr>
        <w:t xml:space="preserve"> im Einklang </w:t>
      </w:r>
      <w:r w:rsidR="002928F1">
        <w:rPr>
          <w:rFonts w:cs="Arial"/>
          <w:b/>
          <w:bCs/>
        </w:rPr>
        <w:t>mit Musik geniessen.</w:t>
      </w:r>
    </w:p>
    <w:p w14:paraId="30E22B94" w14:textId="77777777" w:rsidR="004E22F5" w:rsidRPr="00C57B30" w:rsidRDefault="004E22F5" w:rsidP="004E22F5">
      <w:pPr>
        <w:spacing w:line="276" w:lineRule="auto"/>
        <w:jc w:val="both"/>
        <w:rPr>
          <w:rFonts w:cs="Arial"/>
          <w:b/>
          <w:bCs/>
        </w:rPr>
      </w:pPr>
    </w:p>
    <w:p w14:paraId="39812F0A" w14:textId="13EFED70" w:rsidR="000B11D3" w:rsidRPr="00A90BB3" w:rsidRDefault="000B11D3" w:rsidP="00110BF1">
      <w:pPr>
        <w:pStyle w:val="KeinLeerraum"/>
        <w:rPr>
          <w:rFonts w:ascii="Arial" w:hAnsi="Arial" w:cs="Arial"/>
          <w:b/>
          <w:bCs/>
        </w:rPr>
      </w:pPr>
      <w:r w:rsidRPr="000B11D3">
        <w:rPr>
          <w:rFonts w:ascii="Arial" w:hAnsi="Arial" w:cs="Arial"/>
          <w:b/>
          <w:bCs/>
        </w:rPr>
        <w:t xml:space="preserve">Treffpunkt in der Bar </w:t>
      </w:r>
      <w:r w:rsidR="00CE3628" w:rsidRPr="000B11D3">
        <w:rPr>
          <w:rFonts w:ascii="Arial" w:hAnsi="Arial" w:cs="Arial"/>
          <w:b/>
          <w:bCs/>
        </w:rPr>
        <w:t xml:space="preserve">de </w:t>
      </w:r>
      <w:proofErr w:type="spellStart"/>
      <w:r w:rsidR="00CE3628" w:rsidRPr="000B11D3">
        <w:rPr>
          <w:rFonts w:ascii="Arial" w:hAnsi="Arial" w:cs="Arial"/>
          <w:b/>
          <w:bCs/>
        </w:rPr>
        <w:t>l’Esplanade</w:t>
      </w:r>
      <w:proofErr w:type="spellEnd"/>
    </w:p>
    <w:p w14:paraId="45CC27DC" w14:textId="1849B6A4" w:rsidR="000B11D3" w:rsidRPr="000B11D3" w:rsidRDefault="000B11D3" w:rsidP="00110BF1">
      <w:pPr>
        <w:pStyle w:val="KeinLeerraum"/>
        <w:rPr>
          <w:rFonts w:ascii="Arial" w:hAnsi="Arial" w:cs="Arial"/>
        </w:rPr>
      </w:pPr>
      <w:r w:rsidRPr="000B11D3">
        <w:rPr>
          <w:rFonts w:ascii="Arial" w:hAnsi="Arial" w:cs="Arial"/>
        </w:rPr>
        <w:t>Das Montreux Jazz Festival, das s</w:t>
      </w:r>
      <w:r>
        <w:rPr>
          <w:rFonts w:ascii="Arial" w:hAnsi="Arial" w:cs="Arial"/>
        </w:rPr>
        <w:t>eit 57 Jahren ein</w:t>
      </w:r>
      <w:r w:rsidR="00F47705">
        <w:rPr>
          <w:rFonts w:ascii="Arial" w:hAnsi="Arial" w:cs="Arial"/>
        </w:rPr>
        <w:t xml:space="preserve"> absolutes Muss an der Waadtländer Riviera ist, wird erneut mehrere hunderttausend Besucherinnen und Besucher aus dem In- und Ausland an das Ufer des Genfersees locken. Während des 15-tägigen Festivals freut sich das Office des Vins Vaudois darauf, die Festivalbesucher in der Bar de </w:t>
      </w:r>
      <w:proofErr w:type="spellStart"/>
      <w:r w:rsidR="00F47705">
        <w:rPr>
          <w:rFonts w:ascii="Arial" w:hAnsi="Arial" w:cs="Arial"/>
        </w:rPr>
        <w:t>l’Esplanade</w:t>
      </w:r>
      <w:proofErr w:type="spellEnd"/>
      <w:r w:rsidR="00F47705">
        <w:rPr>
          <w:rFonts w:ascii="Arial" w:hAnsi="Arial" w:cs="Arial"/>
        </w:rPr>
        <w:t xml:space="preserve"> zu empfangen, die auf die diesjährige Ausgabe</w:t>
      </w:r>
      <w:r w:rsidR="00C57B30">
        <w:rPr>
          <w:rFonts w:ascii="Arial" w:hAnsi="Arial" w:cs="Arial"/>
        </w:rPr>
        <w:t xml:space="preserve"> hin</w:t>
      </w:r>
      <w:r w:rsidR="00F47705">
        <w:rPr>
          <w:rFonts w:ascii="Arial" w:hAnsi="Arial" w:cs="Arial"/>
        </w:rPr>
        <w:t xml:space="preserve"> in neuem Gewand erscheint. Diese gesellige Bar am Fusse des Lake House ist der ideale Ort, um sich zwischen zwei ausgelassenen Tanzeinlagen einen Drink zu gönnen. Eine grosse Auswahl an lokalen Weinen bietet den Festivalbesuchenden die Möglichkeit</w:t>
      </w:r>
      <w:r w:rsidR="00A90BB3">
        <w:rPr>
          <w:rFonts w:ascii="Arial" w:hAnsi="Arial" w:cs="Arial"/>
        </w:rPr>
        <w:t>, die perfekte Kombination aus Wein und Musik zu finden. Während des gesamten Festivals werden nicht weniger als 18 Waadtländer Weine ausgeschenkt und degustiert.</w:t>
      </w:r>
    </w:p>
    <w:p w14:paraId="09EA92CC" w14:textId="77777777" w:rsidR="002F66F0" w:rsidRPr="000B11D3" w:rsidRDefault="002F66F0" w:rsidP="00110BF1">
      <w:pPr>
        <w:pStyle w:val="KeinLeerraum"/>
        <w:rPr>
          <w:rFonts w:ascii="Arial" w:hAnsi="Arial" w:cs="Arial"/>
        </w:rPr>
      </w:pPr>
    </w:p>
    <w:p w14:paraId="394D6CD1" w14:textId="109666E2" w:rsidR="002F66F0" w:rsidRPr="005D6442" w:rsidRDefault="00A90BB3" w:rsidP="002F66F0">
      <w:pPr>
        <w:pStyle w:val="KeinLeerraum"/>
        <w:rPr>
          <w:rFonts w:ascii="Arial" w:hAnsi="Arial" w:cs="Arial"/>
          <w:b/>
          <w:bCs/>
        </w:rPr>
      </w:pPr>
      <w:r w:rsidRPr="005D6442">
        <w:rPr>
          <w:rFonts w:ascii="Arial" w:hAnsi="Arial" w:cs="Arial"/>
          <w:b/>
          <w:bCs/>
        </w:rPr>
        <w:t>Musik, Sonne und Cocktails</w:t>
      </w:r>
    </w:p>
    <w:p w14:paraId="1B9C1B85" w14:textId="739D5785" w:rsidR="00A90BB3" w:rsidRPr="00A90BB3" w:rsidRDefault="00A90BB3" w:rsidP="00110BF1">
      <w:pPr>
        <w:pStyle w:val="KeinLeerraum"/>
        <w:rPr>
          <w:rFonts w:ascii="Arial" w:hAnsi="Arial" w:cs="Arial"/>
        </w:rPr>
      </w:pPr>
      <w:r>
        <w:rPr>
          <w:rFonts w:ascii="Arial" w:hAnsi="Arial" w:cs="Arial"/>
        </w:rPr>
        <w:t xml:space="preserve">Weil </w:t>
      </w:r>
      <w:r w:rsidRPr="00A90BB3">
        <w:rPr>
          <w:rFonts w:ascii="Arial" w:hAnsi="Arial" w:cs="Arial"/>
        </w:rPr>
        <w:t>Sommer und F</w:t>
      </w:r>
      <w:r>
        <w:rPr>
          <w:rFonts w:ascii="Arial" w:hAnsi="Arial" w:cs="Arial"/>
        </w:rPr>
        <w:t xml:space="preserve">estlichkeiten sich gut mit Cocktails vereinen lassen, freut sich das Office des Vins Vaudois darauf, an seiner Bar einen seiner </w:t>
      </w:r>
      <w:hyperlink r:id="rId8" w:history="1">
        <w:r w:rsidRPr="005D6442">
          <w:rPr>
            <w:rStyle w:val="Hyperlink"/>
            <w:rFonts w:ascii="Arial" w:hAnsi="Arial" w:cs="Arial"/>
          </w:rPr>
          <w:t>Spitzencocktails</w:t>
        </w:r>
      </w:hyperlink>
      <w:r>
        <w:rPr>
          <w:rFonts w:ascii="Arial" w:hAnsi="Arial" w:cs="Arial"/>
        </w:rPr>
        <w:t xml:space="preserve"> auf Weinbasis anzubieten. Eine dieser 12 originellen Kreationen, die von einem Team von </w:t>
      </w:r>
      <w:proofErr w:type="spellStart"/>
      <w:r>
        <w:rPr>
          <w:rFonts w:ascii="Arial" w:hAnsi="Arial" w:cs="Arial"/>
        </w:rPr>
        <w:t>Mixologen</w:t>
      </w:r>
      <w:proofErr w:type="spellEnd"/>
      <w:r>
        <w:rPr>
          <w:rFonts w:ascii="Arial" w:hAnsi="Arial" w:cs="Arial"/>
        </w:rPr>
        <w:t xml:space="preserve"> und der Sommelière Annick Goumaz zusammengestellt wurden, wird in Montreux zu entdecken sein: der Cocktail </w:t>
      </w:r>
      <w:r w:rsidR="00AC6B51">
        <w:rPr>
          <w:rFonts w:ascii="Arial" w:hAnsi="Arial" w:cs="Arial"/>
        </w:rPr>
        <w:t>«</w:t>
      </w:r>
      <w:r>
        <w:rPr>
          <w:rFonts w:ascii="Arial" w:hAnsi="Arial" w:cs="Arial"/>
        </w:rPr>
        <w:t>In Chasselas Veritas</w:t>
      </w:r>
      <w:r w:rsidR="00AC6B51">
        <w:rPr>
          <w:rFonts w:ascii="Arial" w:hAnsi="Arial" w:cs="Arial"/>
        </w:rPr>
        <w:t>»</w:t>
      </w:r>
      <w:r>
        <w:rPr>
          <w:rFonts w:ascii="Arial" w:hAnsi="Arial" w:cs="Arial"/>
        </w:rPr>
        <w:t>. Mit Honig, dessen Süsse auf die Frische der Grapefruit trifft, ist dieser Cocktail aus der symbolträchtigsten</w:t>
      </w:r>
      <w:r w:rsidR="005D6442">
        <w:rPr>
          <w:rFonts w:ascii="Arial" w:hAnsi="Arial" w:cs="Arial"/>
        </w:rPr>
        <w:t xml:space="preserve"> Waadtländer Rebsorte der perfekte Begleiter für festliche Abende am Ufer des Genfersees.</w:t>
      </w:r>
    </w:p>
    <w:p w14:paraId="28B3FA6A" w14:textId="77777777" w:rsidR="000F6DFD" w:rsidRPr="00A90BB3" w:rsidRDefault="000F6DFD" w:rsidP="00C36CC5">
      <w:pPr>
        <w:pStyle w:val="KeinLeerraum"/>
        <w:rPr>
          <w:rFonts w:ascii="Arial" w:hAnsi="Arial" w:cs="Arial"/>
        </w:rPr>
      </w:pPr>
    </w:p>
    <w:p w14:paraId="044FE7E1" w14:textId="35BBF9AF" w:rsidR="005D6442" w:rsidRPr="00F61D19" w:rsidRDefault="005D6442" w:rsidP="00110BF1">
      <w:pPr>
        <w:pStyle w:val="KeinLeerraum"/>
        <w:rPr>
          <w:rFonts w:ascii="Arial" w:hAnsi="Arial" w:cs="Arial"/>
          <w:b/>
          <w:bCs/>
        </w:rPr>
      </w:pPr>
      <w:r w:rsidRPr="005D6442">
        <w:rPr>
          <w:rFonts w:ascii="Arial" w:hAnsi="Arial" w:cs="Arial"/>
          <w:b/>
          <w:bCs/>
        </w:rPr>
        <w:t>Der Spirit des Jazz zu</w:t>
      </w:r>
      <w:r>
        <w:rPr>
          <w:rFonts w:ascii="Arial" w:hAnsi="Arial" w:cs="Arial"/>
          <w:b/>
          <w:bCs/>
        </w:rPr>
        <w:t xml:space="preserve"> Hause</w:t>
      </w:r>
    </w:p>
    <w:p w14:paraId="15C29C0C" w14:textId="4E7D5396" w:rsidR="005D6442" w:rsidRPr="00C57B30" w:rsidRDefault="005D6442" w:rsidP="00110BF1">
      <w:pPr>
        <w:pStyle w:val="KeinLeerraum"/>
        <w:rPr>
          <w:rFonts w:ascii="Arial" w:hAnsi="Arial" w:cs="Arial"/>
        </w:rPr>
      </w:pPr>
      <w:r w:rsidRPr="005D6442">
        <w:rPr>
          <w:rFonts w:ascii="Arial" w:hAnsi="Arial" w:cs="Arial"/>
        </w:rPr>
        <w:t>Für diejenigen, die sich s</w:t>
      </w:r>
      <w:r>
        <w:rPr>
          <w:rFonts w:ascii="Arial" w:hAnsi="Arial" w:cs="Arial"/>
        </w:rPr>
        <w:t>chon jetzt auf das bevorstehende Festival einstimmen möchte</w:t>
      </w:r>
      <w:r w:rsidR="00AC6B51">
        <w:rPr>
          <w:rFonts w:ascii="Arial" w:hAnsi="Arial" w:cs="Arial"/>
        </w:rPr>
        <w:t>n</w:t>
      </w:r>
      <w:r>
        <w:rPr>
          <w:rFonts w:ascii="Arial" w:hAnsi="Arial" w:cs="Arial"/>
        </w:rPr>
        <w:t>, hat die Online-Verkaufsplattformen des OVV, vaudvins.ch, die limitierte Auflage ihre</w:t>
      </w:r>
      <w:r w:rsidR="00F61D19">
        <w:rPr>
          <w:rFonts w:ascii="Arial" w:hAnsi="Arial" w:cs="Arial"/>
        </w:rPr>
        <w:t>r</w:t>
      </w:r>
      <w:r>
        <w:rPr>
          <w:rFonts w:ascii="Arial" w:hAnsi="Arial" w:cs="Arial"/>
        </w:rPr>
        <w:t xml:space="preserve"> </w:t>
      </w:r>
      <w:hyperlink r:id="rId9" w:history="1">
        <w:proofErr w:type="spellStart"/>
        <w:r w:rsidRPr="00F61D19">
          <w:rPr>
            <w:rStyle w:val="Hyperlink"/>
            <w:rFonts w:ascii="Arial" w:hAnsi="Arial" w:cs="Arial"/>
          </w:rPr>
          <w:t>Jazz</w:t>
        </w:r>
        <w:r w:rsidR="00F61D19" w:rsidRPr="00F61D19">
          <w:rPr>
            <w:rStyle w:val="Hyperlink"/>
            <w:rFonts w:ascii="Arial" w:hAnsi="Arial" w:cs="Arial"/>
          </w:rPr>
          <w:t>y</w:t>
        </w:r>
        <w:proofErr w:type="spellEnd"/>
        <w:r w:rsidR="00F61D19" w:rsidRPr="00F61D19">
          <w:rPr>
            <w:rStyle w:val="Hyperlink"/>
            <w:rFonts w:ascii="Arial" w:hAnsi="Arial" w:cs="Arial"/>
          </w:rPr>
          <w:t xml:space="preserve"> Box</w:t>
        </w:r>
      </w:hyperlink>
      <w:r w:rsidR="00F61D19">
        <w:rPr>
          <w:rFonts w:ascii="Arial" w:hAnsi="Arial" w:cs="Arial"/>
        </w:rPr>
        <w:t xml:space="preserve"> </w:t>
      </w:r>
      <w:r>
        <w:rPr>
          <w:rFonts w:ascii="Arial" w:hAnsi="Arial" w:cs="Arial"/>
        </w:rPr>
        <w:t>lanciert. Diese Boxen werden in der ganzen Schweiz ausgeliefert und präsentieren drei exklusive Festivalweine sowie weitere Überraschungen. Neben den Flaschen mit speziell für diesen Anlass gestalteten Etiketten enthält das Paket auch ein</w:t>
      </w:r>
      <w:r w:rsidR="00C57B30">
        <w:rPr>
          <w:rFonts w:ascii="Arial" w:hAnsi="Arial" w:cs="Arial"/>
        </w:rPr>
        <w:t>en</w:t>
      </w:r>
      <w:r>
        <w:rPr>
          <w:rFonts w:ascii="Arial" w:hAnsi="Arial" w:cs="Arial"/>
        </w:rPr>
        <w:t xml:space="preserve"> Gutschein für die nächste Bestellung auf der Plattform, zwei Goodies mit dem Montreux Jazz Festival-Aufdruck sowie zwei Gutscheine für ein Getränk, die </w:t>
      </w:r>
      <w:r w:rsidR="00F61D19">
        <w:rPr>
          <w:rFonts w:ascii="Arial" w:hAnsi="Arial" w:cs="Arial"/>
        </w:rPr>
        <w:t xml:space="preserve">in der Bar de </w:t>
      </w:r>
      <w:proofErr w:type="spellStart"/>
      <w:r w:rsidR="00F61D19">
        <w:rPr>
          <w:rFonts w:ascii="Arial" w:hAnsi="Arial" w:cs="Arial"/>
        </w:rPr>
        <w:t>l’Esplanade</w:t>
      </w:r>
      <w:proofErr w:type="spellEnd"/>
      <w:r w:rsidR="00F61D19">
        <w:rPr>
          <w:rFonts w:ascii="Arial" w:hAnsi="Arial" w:cs="Arial"/>
        </w:rPr>
        <w:t xml:space="preserve"> eingelöst werden können. Und für die ganz Glücklichen kann die Box auch zwei Tickets für das Konzert von Michael </w:t>
      </w:r>
      <w:proofErr w:type="spellStart"/>
      <w:r w:rsidR="00F61D19">
        <w:rPr>
          <w:rFonts w:ascii="Arial" w:hAnsi="Arial" w:cs="Arial"/>
        </w:rPr>
        <w:t>Kiwuanuka</w:t>
      </w:r>
      <w:proofErr w:type="spellEnd"/>
      <w:r w:rsidR="00F61D19">
        <w:rPr>
          <w:rFonts w:ascii="Arial" w:hAnsi="Arial" w:cs="Arial"/>
        </w:rPr>
        <w:t xml:space="preserve"> &amp; </w:t>
      </w:r>
      <w:proofErr w:type="spellStart"/>
      <w:r w:rsidR="00F61D19">
        <w:rPr>
          <w:rFonts w:ascii="Arial" w:hAnsi="Arial" w:cs="Arial"/>
        </w:rPr>
        <w:t>Jungle</w:t>
      </w:r>
      <w:proofErr w:type="spellEnd"/>
      <w:r w:rsidR="00F61D19">
        <w:rPr>
          <w:rFonts w:ascii="Arial" w:hAnsi="Arial" w:cs="Arial"/>
        </w:rPr>
        <w:t xml:space="preserve"> am 19. </w:t>
      </w:r>
      <w:r w:rsidR="00F61D19" w:rsidRPr="00C57B30">
        <w:rPr>
          <w:rFonts w:ascii="Arial" w:hAnsi="Arial" w:cs="Arial"/>
        </w:rPr>
        <w:t>Juli auf der grossen Seebühne enthalten.</w:t>
      </w:r>
    </w:p>
    <w:p w14:paraId="3005BA17" w14:textId="77777777" w:rsidR="00F72D75" w:rsidRPr="001E467E" w:rsidRDefault="00F72D75" w:rsidP="00DB4466">
      <w:pPr>
        <w:spacing w:line="276" w:lineRule="auto"/>
        <w:ind w:right="-144"/>
        <w:jc w:val="both"/>
        <w:rPr>
          <w:rFonts w:cs="Arial"/>
          <w:lang w:val="x-none"/>
        </w:rPr>
      </w:pPr>
    </w:p>
    <w:p w14:paraId="70833B8C" w14:textId="7D5D71BC" w:rsidR="00B21DF1" w:rsidRPr="00F61D19" w:rsidRDefault="00F61D19" w:rsidP="00DB4466">
      <w:pPr>
        <w:spacing w:line="276" w:lineRule="auto"/>
        <w:ind w:right="-144"/>
        <w:jc w:val="both"/>
        <w:rPr>
          <w:rFonts w:cs="Arial"/>
        </w:rPr>
      </w:pPr>
      <w:r w:rsidRPr="00F61D19">
        <w:rPr>
          <w:rFonts w:cs="Arial"/>
        </w:rPr>
        <w:t xml:space="preserve">Weitere Informationen und Fotos mit Copyright finden Sie </w:t>
      </w:r>
      <w:hyperlink r:id="rId10" w:history="1">
        <w:r w:rsidRPr="00F61D19">
          <w:rPr>
            <w:rStyle w:val="Hyperlink"/>
            <w:rFonts w:cs="Arial"/>
          </w:rPr>
          <w:t>hier</w:t>
        </w:r>
      </w:hyperlink>
      <w:r w:rsidRPr="00F61D19">
        <w:rPr>
          <w:rFonts w:cs="Arial"/>
        </w:rPr>
        <w:t>.</w:t>
      </w:r>
    </w:p>
    <w:p w14:paraId="22D175D1" w14:textId="1AE40E94" w:rsidR="009B4908" w:rsidRDefault="009B4908" w:rsidP="004972DC">
      <w:pPr>
        <w:spacing w:line="276" w:lineRule="auto"/>
        <w:ind w:right="-144"/>
        <w:jc w:val="both"/>
        <w:rPr>
          <w:rFonts w:cs="Arial"/>
        </w:rPr>
      </w:pPr>
    </w:p>
    <w:p w14:paraId="7D489B86" w14:textId="77777777" w:rsidR="003F4E8A" w:rsidRDefault="003F4E8A" w:rsidP="004972DC">
      <w:pPr>
        <w:spacing w:line="276" w:lineRule="auto"/>
        <w:ind w:right="-144"/>
        <w:jc w:val="both"/>
        <w:rPr>
          <w:rFonts w:cs="Arial"/>
        </w:rPr>
      </w:pPr>
    </w:p>
    <w:p w14:paraId="7906B006" w14:textId="77777777" w:rsidR="003F4E8A" w:rsidRDefault="003F4E8A" w:rsidP="004972DC">
      <w:pPr>
        <w:spacing w:line="276" w:lineRule="auto"/>
        <w:ind w:right="-144"/>
        <w:jc w:val="both"/>
        <w:rPr>
          <w:rFonts w:cs="Arial"/>
        </w:rPr>
      </w:pPr>
    </w:p>
    <w:p w14:paraId="7AF69872" w14:textId="77777777" w:rsidR="003F4E8A" w:rsidRDefault="003F4E8A" w:rsidP="004972DC">
      <w:pPr>
        <w:spacing w:line="276" w:lineRule="auto"/>
        <w:ind w:right="-144"/>
        <w:jc w:val="both"/>
        <w:rPr>
          <w:rFonts w:cs="Arial"/>
        </w:rPr>
      </w:pPr>
    </w:p>
    <w:p w14:paraId="30BBB059" w14:textId="77777777" w:rsidR="003F4E8A" w:rsidRDefault="003F4E8A" w:rsidP="004972DC">
      <w:pPr>
        <w:spacing w:line="276" w:lineRule="auto"/>
        <w:ind w:right="-144"/>
        <w:jc w:val="both"/>
        <w:rPr>
          <w:rFonts w:cs="Arial"/>
        </w:rPr>
      </w:pPr>
    </w:p>
    <w:p w14:paraId="241AA7A0" w14:textId="77777777" w:rsidR="003F4E8A" w:rsidRDefault="003F4E8A" w:rsidP="004972DC">
      <w:pPr>
        <w:spacing w:line="276" w:lineRule="auto"/>
        <w:ind w:right="-144"/>
        <w:jc w:val="both"/>
        <w:rPr>
          <w:rFonts w:cs="Arial"/>
        </w:rPr>
      </w:pPr>
    </w:p>
    <w:p w14:paraId="6B4DE3B5" w14:textId="77777777" w:rsidR="003F4E8A" w:rsidRPr="00F61D19" w:rsidRDefault="003F4E8A" w:rsidP="004972DC">
      <w:pPr>
        <w:spacing w:line="276" w:lineRule="auto"/>
        <w:ind w:right="-144"/>
        <w:jc w:val="both"/>
        <w:rPr>
          <w:rFonts w:cs="Arial"/>
        </w:rPr>
      </w:pPr>
    </w:p>
    <w:p w14:paraId="4FBB213A" w14:textId="77777777" w:rsidR="001C1053" w:rsidRPr="00A16FF5"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b/>
          <w:bCs/>
          <w:sz w:val="18"/>
          <w:szCs w:val="18"/>
        </w:rPr>
      </w:pPr>
      <w:bookmarkStart w:id="0" w:name="_Hlk98852052"/>
      <w:r w:rsidRPr="00A16FF5">
        <w:rPr>
          <w:rFonts w:cs="Arial"/>
          <w:b/>
          <w:bCs/>
          <w:sz w:val="18"/>
          <w:szCs w:val="18"/>
        </w:rPr>
        <w:t>Für weitere Informationen (Medium):</w:t>
      </w:r>
    </w:p>
    <w:p w14:paraId="58F69AA4" w14:textId="77777777" w:rsidR="001C1053" w:rsidRPr="00A16FF5"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A16FF5">
        <w:rPr>
          <w:rFonts w:cs="Arial"/>
          <w:sz w:val="18"/>
          <w:szCs w:val="18"/>
        </w:rPr>
        <w:t>Benjamin Ponce &amp; Gere Gretz, Medienstelle Office des Vins Vaudois</w:t>
      </w:r>
    </w:p>
    <w:p w14:paraId="079766FD" w14:textId="77777777" w:rsidR="001C1053" w:rsidRPr="00A16FF5"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A16FF5">
        <w:rPr>
          <w:rFonts w:cs="Arial"/>
          <w:sz w:val="18"/>
          <w:szCs w:val="18"/>
        </w:rPr>
        <w:t>c/o Gretz Communications AG, Zähringerstrasse 16, 3012 Berne</w:t>
      </w:r>
    </w:p>
    <w:p w14:paraId="210A5702" w14:textId="6B7A437B" w:rsidR="00300951" w:rsidRPr="003F4E8A" w:rsidRDefault="001C1053" w:rsidP="003F4E8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lang w:val="it-CH"/>
        </w:rPr>
      </w:pPr>
      <w:proofErr w:type="spellStart"/>
      <w:r w:rsidRPr="00A16FF5">
        <w:rPr>
          <w:rFonts w:cs="Arial"/>
          <w:sz w:val="18"/>
          <w:szCs w:val="18"/>
          <w:lang w:val="it-CH"/>
        </w:rPr>
        <w:t>Telefon</w:t>
      </w:r>
      <w:proofErr w:type="spellEnd"/>
      <w:r w:rsidRPr="00A16FF5">
        <w:rPr>
          <w:rFonts w:cs="Arial"/>
          <w:sz w:val="18"/>
          <w:szCs w:val="18"/>
          <w:lang w:val="it-CH"/>
        </w:rPr>
        <w:t xml:space="preserve"> 031 300 30 70; E-Mail: </w:t>
      </w:r>
      <w:hyperlink r:id="rId11" w:history="1">
        <w:r w:rsidRPr="00A16FF5">
          <w:rPr>
            <w:rStyle w:val="Hyperlink"/>
            <w:rFonts w:cs="Arial"/>
            <w:color w:val="auto"/>
            <w:sz w:val="18"/>
            <w:szCs w:val="18"/>
            <w:lang w:val="it-CH"/>
          </w:rPr>
          <w:t>info@gretzcom.ch</w:t>
        </w:r>
      </w:hyperlink>
    </w:p>
    <w:bookmarkEnd w:id="0"/>
    <w:p w14:paraId="542C0867" w14:textId="77777777" w:rsidR="003F4E8A" w:rsidRDefault="003F4E8A" w:rsidP="001C1053">
      <w:pPr>
        <w:spacing w:line="276" w:lineRule="auto"/>
        <w:jc w:val="both"/>
        <w:rPr>
          <w:rFonts w:cs="Arial"/>
          <w:b/>
          <w:bCs/>
          <w:sz w:val="18"/>
          <w:szCs w:val="18"/>
        </w:rPr>
      </w:pPr>
    </w:p>
    <w:p w14:paraId="3A4864A5" w14:textId="77777777" w:rsidR="003F4E8A" w:rsidRDefault="003F4E8A" w:rsidP="001C1053">
      <w:pPr>
        <w:spacing w:line="276" w:lineRule="auto"/>
        <w:jc w:val="both"/>
        <w:rPr>
          <w:rFonts w:cs="Arial"/>
          <w:b/>
          <w:bCs/>
          <w:sz w:val="18"/>
          <w:szCs w:val="18"/>
        </w:rPr>
      </w:pPr>
    </w:p>
    <w:p w14:paraId="608C0C68" w14:textId="0977CE25" w:rsidR="001C1053" w:rsidRPr="00A16FF5" w:rsidRDefault="001C1053" w:rsidP="001C1053">
      <w:pPr>
        <w:spacing w:line="276" w:lineRule="auto"/>
        <w:jc w:val="both"/>
        <w:rPr>
          <w:rFonts w:cs="Arial"/>
          <w:sz w:val="18"/>
          <w:szCs w:val="18"/>
        </w:rPr>
      </w:pPr>
      <w:r w:rsidRPr="00A16FF5">
        <w:rPr>
          <w:rFonts w:cs="Arial"/>
          <w:b/>
          <w:bCs/>
          <w:sz w:val="18"/>
          <w:szCs w:val="18"/>
        </w:rPr>
        <w:t xml:space="preserve">Über das Office des Vins Vaudois: </w:t>
      </w:r>
      <w:r w:rsidRPr="00A16FF5">
        <w:rPr>
          <w:rFonts w:cs="Arial"/>
          <w:sz w:val="18"/>
          <w:szCs w:val="18"/>
        </w:rPr>
        <w:t xml:space="preserve">Die Interessenvertretung für Weine aus dem Waadtland (OVV) ist die Einrichtung, die sich der Förderung und Wertschätzung der Weine des Kantons Waadt widmet. Die Aufgabe der </w:t>
      </w:r>
      <w:r w:rsidRPr="00A16FF5">
        <w:rPr>
          <w:rFonts w:cs="Arial"/>
          <w:sz w:val="18"/>
          <w:szCs w:val="18"/>
        </w:rPr>
        <w:lastRenderedPageBreak/>
        <w:t>Vereinigung besteht darin, das reiche Weinbauerbe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p w14:paraId="5832AB65" w14:textId="49E49099" w:rsidR="005A6C56" w:rsidRPr="001C1053" w:rsidRDefault="005A6C56" w:rsidP="001C1053">
      <w:pPr>
        <w:jc w:val="both"/>
        <w:rPr>
          <w:rFonts w:cs="Arial"/>
          <w:sz w:val="18"/>
          <w:szCs w:val="18"/>
        </w:rPr>
      </w:pPr>
    </w:p>
    <w:sectPr w:rsidR="005A6C56" w:rsidRPr="001C1053">
      <w:head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5EA35" w14:textId="77777777" w:rsidR="00F9442C" w:rsidRDefault="00F9442C">
      <w:r>
        <w:separator/>
      </w:r>
    </w:p>
  </w:endnote>
  <w:endnote w:type="continuationSeparator" w:id="0">
    <w:p w14:paraId="6B61F70C" w14:textId="77777777" w:rsidR="00F9442C" w:rsidRDefault="00F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91AF6" w14:textId="77777777" w:rsidR="00F9442C" w:rsidRDefault="00F9442C">
      <w:r>
        <w:separator/>
      </w:r>
    </w:p>
  </w:footnote>
  <w:footnote w:type="continuationSeparator" w:id="0">
    <w:p w14:paraId="7BB89418" w14:textId="77777777" w:rsidR="00F9442C" w:rsidRDefault="00F9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6990"/>
    <w:rsid w:val="00006CD5"/>
    <w:rsid w:val="0001165A"/>
    <w:rsid w:val="000139E4"/>
    <w:rsid w:val="00014E73"/>
    <w:rsid w:val="0001761C"/>
    <w:rsid w:val="0002142C"/>
    <w:rsid w:val="0002469A"/>
    <w:rsid w:val="00033B33"/>
    <w:rsid w:val="00067980"/>
    <w:rsid w:val="00070B54"/>
    <w:rsid w:val="0007142A"/>
    <w:rsid w:val="0007763A"/>
    <w:rsid w:val="00081486"/>
    <w:rsid w:val="00082281"/>
    <w:rsid w:val="00084D6F"/>
    <w:rsid w:val="0008692E"/>
    <w:rsid w:val="000915AB"/>
    <w:rsid w:val="000A026C"/>
    <w:rsid w:val="000B11D3"/>
    <w:rsid w:val="000C2FAD"/>
    <w:rsid w:val="000D1E32"/>
    <w:rsid w:val="000D7654"/>
    <w:rsid w:val="000E2CEC"/>
    <w:rsid w:val="000E7426"/>
    <w:rsid w:val="000F4485"/>
    <w:rsid w:val="000F5318"/>
    <w:rsid w:val="000F6DFD"/>
    <w:rsid w:val="0010168B"/>
    <w:rsid w:val="001046BB"/>
    <w:rsid w:val="00110BF1"/>
    <w:rsid w:val="00111BC6"/>
    <w:rsid w:val="00112AA1"/>
    <w:rsid w:val="001315A1"/>
    <w:rsid w:val="00133196"/>
    <w:rsid w:val="001344A9"/>
    <w:rsid w:val="00136DCA"/>
    <w:rsid w:val="00153AD0"/>
    <w:rsid w:val="001557DD"/>
    <w:rsid w:val="00167163"/>
    <w:rsid w:val="00173AC4"/>
    <w:rsid w:val="00176C7D"/>
    <w:rsid w:val="00184E77"/>
    <w:rsid w:val="00196C7C"/>
    <w:rsid w:val="001A37E3"/>
    <w:rsid w:val="001B01A8"/>
    <w:rsid w:val="001C1053"/>
    <w:rsid w:val="001C357D"/>
    <w:rsid w:val="001E01DF"/>
    <w:rsid w:val="001E08FB"/>
    <w:rsid w:val="001E467E"/>
    <w:rsid w:val="001E5559"/>
    <w:rsid w:val="001E7906"/>
    <w:rsid w:val="001F016D"/>
    <w:rsid w:val="0020084D"/>
    <w:rsid w:val="00210604"/>
    <w:rsid w:val="002121F6"/>
    <w:rsid w:val="00220E3E"/>
    <w:rsid w:val="00221241"/>
    <w:rsid w:val="0022426C"/>
    <w:rsid w:val="00236E0E"/>
    <w:rsid w:val="00251C5C"/>
    <w:rsid w:val="00254A81"/>
    <w:rsid w:val="00255369"/>
    <w:rsid w:val="002563A8"/>
    <w:rsid w:val="002738B1"/>
    <w:rsid w:val="00275A0D"/>
    <w:rsid w:val="00277261"/>
    <w:rsid w:val="00277A7C"/>
    <w:rsid w:val="00287A29"/>
    <w:rsid w:val="00292177"/>
    <w:rsid w:val="002928F1"/>
    <w:rsid w:val="002958B0"/>
    <w:rsid w:val="002960AF"/>
    <w:rsid w:val="002A2B14"/>
    <w:rsid w:val="002A5169"/>
    <w:rsid w:val="002B091C"/>
    <w:rsid w:val="002C4CC0"/>
    <w:rsid w:val="002C6060"/>
    <w:rsid w:val="002C6672"/>
    <w:rsid w:val="002D0D10"/>
    <w:rsid w:val="002D196E"/>
    <w:rsid w:val="002D3005"/>
    <w:rsid w:val="002F137B"/>
    <w:rsid w:val="002F357E"/>
    <w:rsid w:val="002F66F0"/>
    <w:rsid w:val="002F6CF7"/>
    <w:rsid w:val="00300951"/>
    <w:rsid w:val="003141AB"/>
    <w:rsid w:val="003161F0"/>
    <w:rsid w:val="00323F4D"/>
    <w:rsid w:val="00327AD8"/>
    <w:rsid w:val="00327AF6"/>
    <w:rsid w:val="00327EA6"/>
    <w:rsid w:val="00333179"/>
    <w:rsid w:val="003412EE"/>
    <w:rsid w:val="003504EA"/>
    <w:rsid w:val="00355CE9"/>
    <w:rsid w:val="00355CF6"/>
    <w:rsid w:val="003639A2"/>
    <w:rsid w:val="003667F4"/>
    <w:rsid w:val="00375939"/>
    <w:rsid w:val="00387D11"/>
    <w:rsid w:val="00396DC3"/>
    <w:rsid w:val="003A0D0A"/>
    <w:rsid w:val="003A2765"/>
    <w:rsid w:val="003A3341"/>
    <w:rsid w:val="003B0263"/>
    <w:rsid w:val="003B5675"/>
    <w:rsid w:val="003C41BA"/>
    <w:rsid w:val="003C62D5"/>
    <w:rsid w:val="003D3F11"/>
    <w:rsid w:val="003E00C9"/>
    <w:rsid w:val="003E318A"/>
    <w:rsid w:val="003E44C4"/>
    <w:rsid w:val="003E55E7"/>
    <w:rsid w:val="003F4E8A"/>
    <w:rsid w:val="003F7AD7"/>
    <w:rsid w:val="00404B9D"/>
    <w:rsid w:val="00437390"/>
    <w:rsid w:val="0045632D"/>
    <w:rsid w:val="00457378"/>
    <w:rsid w:val="00462452"/>
    <w:rsid w:val="00465632"/>
    <w:rsid w:val="00470078"/>
    <w:rsid w:val="00477EB0"/>
    <w:rsid w:val="0048092B"/>
    <w:rsid w:val="0048269B"/>
    <w:rsid w:val="00485A85"/>
    <w:rsid w:val="00486023"/>
    <w:rsid w:val="004972DC"/>
    <w:rsid w:val="004B5F3D"/>
    <w:rsid w:val="004E22F5"/>
    <w:rsid w:val="004E36C2"/>
    <w:rsid w:val="004F4038"/>
    <w:rsid w:val="005031A5"/>
    <w:rsid w:val="00532DCD"/>
    <w:rsid w:val="005344CF"/>
    <w:rsid w:val="0053539C"/>
    <w:rsid w:val="005400AE"/>
    <w:rsid w:val="00551240"/>
    <w:rsid w:val="00552480"/>
    <w:rsid w:val="00553F00"/>
    <w:rsid w:val="00560CCD"/>
    <w:rsid w:val="005611DD"/>
    <w:rsid w:val="0056208D"/>
    <w:rsid w:val="0056327C"/>
    <w:rsid w:val="00573FCC"/>
    <w:rsid w:val="0057459C"/>
    <w:rsid w:val="005755C4"/>
    <w:rsid w:val="0057606E"/>
    <w:rsid w:val="00576559"/>
    <w:rsid w:val="00582D79"/>
    <w:rsid w:val="00586B20"/>
    <w:rsid w:val="005A2DB6"/>
    <w:rsid w:val="005A5074"/>
    <w:rsid w:val="005A6474"/>
    <w:rsid w:val="005A6C56"/>
    <w:rsid w:val="005B2A19"/>
    <w:rsid w:val="005B3F44"/>
    <w:rsid w:val="005B6899"/>
    <w:rsid w:val="005D42CE"/>
    <w:rsid w:val="005D573C"/>
    <w:rsid w:val="005D59ED"/>
    <w:rsid w:val="005D6442"/>
    <w:rsid w:val="005E631C"/>
    <w:rsid w:val="005E6749"/>
    <w:rsid w:val="00605021"/>
    <w:rsid w:val="0060625A"/>
    <w:rsid w:val="00612E2D"/>
    <w:rsid w:val="00625292"/>
    <w:rsid w:val="00625563"/>
    <w:rsid w:val="00636963"/>
    <w:rsid w:val="0065795F"/>
    <w:rsid w:val="00680648"/>
    <w:rsid w:val="00684972"/>
    <w:rsid w:val="00685ACC"/>
    <w:rsid w:val="006A68DE"/>
    <w:rsid w:val="006C0AA3"/>
    <w:rsid w:val="006C59B7"/>
    <w:rsid w:val="006D2189"/>
    <w:rsid w:val="006E3041"/>
    <w:rsid w:val="006F0F3C"/>
    <w:rsid w:val="006F276F"/>
    <w:rsid w:val="0070159A"/>
    <w:rsid w:val="007021FA"/>
    <w:rsid w:val="00703A0A"/>
    <w:rsid w:val="00713BEF"/>
    <w:rsid w:val="00715257"/>
    <w:rsid w:val="00720185"/>
    <w:rsid w:val="00723B68"/>
    <w:rsid w:val="00727F66"/>
    <w:rsid w:val="00766E1F"/>
    <w:rsid w:val="00771B97"/>
    <w:rsid w:val="00777552"/>
    <w:rsid w:val="007805FE"/>
    <w:rsid w:val="00780F76"/>
    <w:rsid w:val="00783835"/>
    <w:rsid w:val="00784E13"/>
    <w:rsid w:val="007B4A52"/>
    <w:rsid w:val="007D3116"/>
    <w:rsid w:val="007E0301"/>
    <w:rsid w:val="007F5EBD"/>
    <w:rsid w:val="00800F07"/>
    <w:rsid w:val="00807409"/>
    <w:rsid w:val="00810EF5"/>
    <w:rsid w:val="00814900"/>
    <w:rsid w:val="008263A2"/>
    <w:rsid w:val="00827359"/>
    <w:rsid w:val="0085592B"/>
    <w:rsid w:val="0086047D"/>
    <w:rsid w:val="00870998"/>
    <w:rsid w:val="0087281F"/>
    <w:rsid w:val="00881DB2"/>
    <w:rsid w:val="00882E4E"/>
    <w:rsid w:val="008833FB"/>
    <w:rsid w:val="0088736F"/>
    <w:rsid w:val="008958B8"/>
    <w:rsid w:val="008C3ABA"/>
    <w:rsid w:val="008D21AF"/>
    <w:rsid w:val="008D5E6C"/>
    <w:rsid w:val="00911915"/>
    <w:rsid w:val="00914F87"/>
    <w:rsid w:val="00926246"/>
    <w:rsid w:val="00930983"/>
    <w:rsid w:val="00934E1B"/>
    <w:rsid w:val="009401AB"/>
    <w:rsid w:val="00947522"/>
    <w:rsid w:val="00960E0D"/>
    <w:rsid w:val="00961FE7"/>
    <w:rsid w:val="009637A7"/>
    <w:rsid w:val="009830CC"/>
    <w:rsid w:val="0098393A"/>
    <w:rsid w:val="00990DD2"/>
    <w:rsid w:val="00991193"/>
    <w:rsid w:val="00992116"/>
    <w:rsid w:val="00995B4B"/>
    <w:rsid w:val="00997A58"/>
    <w:rsid w:val="009A2D08"/>
    <w:rsid w:val="009B4908"/>
    <w:rsid w:val="009C29CE"/>
    <w:rsid w:val="009C53B9"/>
    <w:rsid w:val="009D2651"/>
    <w:rsid w:val="009E18DF"/>
    <w:rsid w:val="009F02E9"/>
    <w:rsid w:val="009F0764"/>
    <w:rsid w:val="009F2C1E"/>
    <w:rsid w:val="009F47C2"/>
    <w:rsid w:val="009F6655"/>
    <w:rsid w:val="00A00245"/>
    <w:rsid w:val="00A01500"/>
    <w:rsid w:val="00A05087"/>
    <w:rsid w:val="00A06143"/>
    <w:rsid w:val="00A06E64"/>
    <w:rsid w:val="00A104AD"/>
    <w:rsid w:val="00A12AFB"/>
    <w:rsid w:val="00A13841"/>
    <w:rsid w:val="00A15DE4"/>
    <w:rsid w:val="00A26ECD"/>
    <w:rsid w:val="00A32A44"/>
    <w:rsid w:val="00A330C7"/>
    <w:rsid w:val="00A411C4"/>
    <w:rsid w:val="00A41398"/>
    <w:rsid w:val="00A460BC"/>
    <w:rsid w:val="00A51AD3"/>
    <w:rsid w:val="00A52E11"/>
    <w:rsid w:val="00A539E7"/>
    <w:rsid w:val="00A62F4C"/>
    <w:rsid w:val="00A73B87"/>
    <w:rsid w:val="00A74227"/>
    <w:rsid w:val="00A75C9A"/>
    <w:rsid w:val="00A80542"/>
    <w:rsid w:val="00A90BB3"/>
    <w:rsid w:val="00A9339F"/>
    <w:rsid w:val="00AA1BF8"/>
    <w:rsid w:val="00AA4F79"/>
    <w:rsid w:val="00AB507B"/>
    <w:rsid w:val="00AB7F72"/>
    <w:rsid w:val="00AC2154"/>
    <w:rsid w:val="00AC6B51"/>
    <w:rsid w:val="00AC7F29"/>
    <w:rsid w:val="00AD21E8"/>
    <w:rsid w:val="00AD4FC6"/>
    <w:rsid w:val="00AE3DF3"/>
    <w:rsid w:val="00AE6466"/>
    <w:rsid w:val="00AF189D"/>
    <w:rsid w:val="00AF314C"/>
    <w:rsid w:val="00B0771D"/>
    <w:rsid w:val="00B114E6"/>
    <w:rsid w:val="00B14998"/>
    <w:rsid w:val="00B17C16"/>
    <w:rsid w:val="00B21DF1"/>
    <w:rsid w:val="00B238DB"/>
    <w:rsid w:val="00B30216"/>
    <w:rsid w:val="00B533F0"/>
    <w:rsid w:val="00B621C8"/>
    <w:rsid w:val="00B62561"/>
    <w:rsid w:val="00B727A4"/>
    <w:rsid w:val="00B86C66"/>
    <w:rsid w:val="00B87D00"/>
    <w:rsid w:val="00B9467E"/>
    <w:rsid w:val="00B94A5F"/>
    <w:rsid w:val="00BB78A5"/>
    <w:rsid w:val="00BC4540"/>
    <w:rsid w:val="00BC59DB"/>
    <w:rsid w:val="00BD0582"/>
    <w:rsid w:val="00BD40E8"/>
    <w:rsid w:val="00BD5592"/>
    <w:rsid w:val="00BD6BC9"/>
    <w:rsid w:val="00BE06C5"/>
    <w:rsid w:val="00BE17FA"/>
    <w:rsid w:val="00BE383D"/>
    <w:rsid w:val="00BE52BF"/>
    <w:rsid w:val="00BF278B"/>
    <w:rsid w:val="00BF3BDC"/>
    <w:rsid w:val="00BF593E"/>
    <w:rsid w:val="00C0517A"/>
    <w:rsid w:val="00C15803"/>
    <w:rsid w:val="00C20699"/>
    <w:rsid w:val="00C34E8B"/>
    <w:rsid w:val="00C35725"/>
    <w:rsid w:val="00C35B3F"/>
    <w:rsid w:val="00C36CC5"/>
    <w:rsid w:val="00C424F2"/>
    <w:rsid w:val="00C424F4"/>
    <w:rsid w:val="00C52A3B"/>
    <w:rsid w:val="00C53EF9"/>
    <w:rsid w:val="00C57B30"/>
    <w:rsid w:val="00C6155E"/>
    <w:rsid w:val="00C814A3"/>
    <w:rsid w:val="00C849DD"/>
    <w:rsid w:val="00C86F31"/>
    <w:rsid w:val="00C91D74"/>
    <w:rsid w:val="00CB1B5A"/>
    <w:rsid w:val="00CB47DD"/>
    <w:rsid w:val="00CB664F"/>
    <w:rsid w:val="00CD2A38"/>
    <w:rsid w:val="00CE00FA"/>
    <w:rsid w:val="00CE1DB5"/>
    <w:rsid w:val="00CE3628"/>
    <w:rsid w:val="00CE506D"/>
    <w:rsid w:val="00CF3A8E"/>
    <w:rsid w:val="00D04B5F"/>
    <w:rsid w:val="00D14D7A"/>
    <w:rsid w:val="00D31F2A"/>
    <w:rsid w:val="00D4147B"/>
    <w:rsid w:val="00D70381"/>
    <w:rsid w:val="00D72380"/>
    <w:rsid w:val="00D72EBB"/>
    <w:rsid w:val="00D74031"/>
    <w:rsid w:val="00D776FF"/>
    <w:rsid w:val="00D804CA"/>
    <w:rsid w:val="00D862E3"/>
    <w:rsid w:val="00D9153D"/>
    <w:rsid w:val="00DB35EC"/>
    <w:rsid w:val="00DB4466"/>
    <w:rsid w:val="00DB44DB"/>
    <w:rsid w:val="00DB4FAA"/>
    <w:rsid w:val="00DB5636"/>
    <w:rsid w:val="00DD0623"/>
    <w:rsid w:val="00DD0F04"/>
    <w:rsid w:val="00DD7C2B"/>
    <w:rsid w:val="00DE5D77"/>
    <w:rsid w:val="00DE636F"/>
    <w:rsid w:val="00DF40AD"/>
    <w:rsid w:val="00DF48F5"/>
    <w:rsid w:val="00DF669A"/>
    <w:rsid w:val="00E002AA"/>
    <w:rsid w:val="00E039DF"/>
    <w:rsid w:val="00E06A9F"/>
    <w:rsid w:val="00E1248A"/>
    <w:rsid w:val="00E13381"/>
    <w:rsid w:val="00E14C6C"/>
    <w:rsid w:val="00E154E3"/>
    <w:rsid w:val="00E164CD"/>
    <w:rsid w:val="00E20B41"/>
    <w:rsid w:val="00E34249"/>
    <w:rsid w:val="00E351F4"/>
    <w:rsid w:val="00E36762"/>
    <w:rsid w:val="00E4420D"/>
    <w:rsid w:val="00E47205"/>
    <w:rsid w:val="00E47F45"/>
    <w:rsid w:val="00E604DF"/>
    <w:rsid w:val="00E61632"/>
    <w:rsid w:val="00E75C9E"/>
    <w:rsid w:val="00E93520"/>
    <w:rsid w:val="00E97E22"/>
    <w:rsid w:val="00EB5F86"/>
    <w:rsid w:val="00EC4CB8"/>
    <w:rsid w:val="00EC6BE1"/>
    <w:rsid w:val="00ED1707"/>
    <w:rsid w:val="00EE7D90"/>
    <w:rsid w:val="00EF2B69"/>
    <w:rsid w:val="00EF519E"/>
    <w:rsid w:val="00F0336C"/>
    <w:rsid w:val="00F06D61"/>
    <w:rsid w:val="00F111B4"/>
    <w:rsid w:val="00F13B39"/>
    <w:rsid w:val="00F31BC9"/>
    <w:rsid w:val="00F33DE1"/>
    <w:rsid w:val="00F36BC6"/>
    <w:rsid w:val="00F47705"/>
    <w:rsid w:val="00F50359"/>
    <w:rsid w:val="00F60438"/>
    <w:rsid w:val="00F61D19"/>
    <w:rsid w:val="00F72D75"/>
    <w:rsid w:val="00F77981"/>
    <w:rsid w:val="00F80383"/>
    <w:rsid w:val="00F80E96"/>
    <w:rsid w:val="00F85126"/>
    <w:rsid w:val="00F9442C"/>
    <w:rsid w:val="00F95A4C"/>
    <w:rsid w:val="00F97875"/>
    <w:rsid w:val="00FA7FAB"/>
    <w:rsid w:val="00FD5B8B"/>
    <w:rsid w:val="00FE3803"/>
    <w:rsid w:val="00FE38B1"/>
    <w:rsid w:val="00FF3D47"/>
    <w:rsid w:val="00FF45F8"/>
    <w:rsid w:val="00FF6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dvins.ch/de_CH/blog/erlernen-12/waadtlander-cocktails-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a5v9190D5k" TargetMode="External"/><Relationship Id="rId4" Type="http://schemas.openxmlformats.org/officeDocument/2006/relationships/settings" Target="settings.xml"/><Relationship Id="rId9" Type="http://schemas.openxmlformats.org/officeDocument/2006/relationships/hyperlink" Target="https://www.vaudvins.ch/de_CH/shop/jazzy-box-limited-edition-2024-53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31</cp:revision>
  <cp:lastPrinted>2024-06-20T11:22:00Z</cp:lastPrinted>
  <dcterms:created xsi:type="dcterms:W3CDTF">2024-06-03T09:03:00Z</dcterms:created>
  <dcterms:modified xsi:type="dcterms:W3CDTF">2024-06-20T11:25:00Z</dcterms:modified>
</cp:coreProperties>
</file>