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F9355" w14:textId="08722E21" w:rsidR="00CF3B7D" w:rsidRPr="003C68C3" w:rsidRDefault="00CF3B7D" w:rsidP="003C68C3">
      <w:pPr>
        <w:keepNext/>
        <w:spacing w:before="360" w:after="120" w:line="276" w:lineRule="auto"/>
        <w:jc w:val="both"/>
        <w:outlineLvl w:val="0"/>
        <w:rPr>
          <w:rFonts w:ascii="CircularXX TT" w:eastAsia="Times New Roman" w:hAnsi="CircularXX TT" w:cs="CircularXX TT"/>
          <w:b/>
          <w:bCs/>
          <w:kern w:val="32"/>
          <w:sz w:val="24"/>
          <w:szCs w:val="24"/>
        </w:rPr>
      </w:pPr>
      <w:r w:rsidRPr="003C68C3">
        <w:rPr>
          <w:rFonts w:ascii="CircularXX TT" w:eastAsia="Times New Roman" w:hAnsi="CircularXX TT" w:cs="CircularXX TT"/>
          <w:b/>
          <w:bCs/>
          <w:kern w:val="32"/>
          <w:sz w:val="24"/>
          <w:szCs w:val="24"/>
        </w:rPr>
        <w:t>Medienmitteilung</w:t>
      </w:r>
    </w:p>
    <w:p w14:paraId="6CEFF75C" w14:textId="77777777" w:rsidR="00CF3B7D" w:rsidRPr="003C68C3" w:rsidRDefault="00CF3B7D" w:rsidP="003C68C3">
      <w:pPr>
        <w:spacing w:line="276" w:lineRule="auto"/>
        <w:jc w:val="both"/>
        <w:rPr>
          <w:rFonts w:ascii="CircularXX TT" w:hAnsi="CircularXX TT" w:cs="CircularXX TT"/>
        </w:rPr>
      </w:pPr>
    </w:p>
    <w:p w14:paraId="4CF16AC6" w14:textId="77777777" w:rsidR="00CF3B7D" w:rsidRPr="003C68C3" w:rsidRDefault="00CF3B7D" w:rsidP="003C68C3">
      <w:pPr>
        <w:keepNext/>
        <w:spacing w:line="276" w:lineRule="auto"/>
        <w:jc w:val="both"/>
        <w:outlineLvl w:val="0"/>
        <w:rPr>
          <w:rFonts w:ascii="CircularXX TT" w:eastAsia="Times New Roman" w:hAnsi="CircularXX TT" w:cs="CircularXX TT"/>
          <w:b/>
          <w:bCs/>
          <w:kern w:val="32"/>
          <w:sz w:val="32"/>
          <w:szCs w:val="32"/>
        </w:rPr>
      </w:pPr>
      <w:r w:rsidRPr="003C68C3">
        <w:rPr>
          <w:rFonts w:ascii="CircularXX TT" w:eastAsia="Times New Roman" w:hAnsi="CircularXX TT" w:cs="CircularXX TT"/>
          <w:b/>
          <w:bCs/>
          <w:kern w:val="32"/>
          <w:sz w:val="32"/>
          <w:szCs w:val="32"/>
        </w:rPr>
        <w:t>Promotion mit Zugkraft: Nendaz setzt sich exklusiv in Szene</w:t>
      </w:r>
    </w:p>
    <w:p w14:paraId="649A0C90" w14:textId="77777777" w:rsidR="00CF3B7D" w:rsidRPr="003C68C3" w:rsidRDefault="00CF3B7D" w:rsidP="003C68C3">
      <w:pPr>
        <w:spacing w:line="276" w:lineRule="auto"/>
        <w:jc w:val="both"/>
        <w:rPr>
          <w:rFonts w:ascii="CircularXX TT" w:hAnsi="CircularXX TT" w:cs="CircularXX TT"/>
        </w:rPr>
      </w:pPr>
    </w:p>
    <w:p w14:paraId="4116908D" w14:textId="1C665724" w:rsidR="00CF3B7D" w:rsidRPr="004F396E" w:rsidRDefault="00CF3B7D" w:rsidP="003C68C3">
      <w:pPr>
        <w:spacing w:line="276" w:lineRule="auto"/>
        <w:jc w:val="both"/>
        <w:rPr>
          <w:rFonts w:ascii="CircularXX TT" w:eastAsia="Calibri" w:hAnsi="CircularXX TT" w:cs="CircularXX TT"/>
          <w:b/>
          <w:bCs/>
          <w:sz w:val="24"/>
          <w:szCs w:val="24"/>
        </w:rPr>
      </w:pPr>
      <w:r w:rsidRPr="003C68C3">
        <w:rPr>
          <w:rFonts w:ascii="CircularXX TT" w:eastAsia="Calibri" w:hAnsi="CircularXX TT" w:cs="CircularXX TT"/>
          <w:b/>
          <w:bCs/>
          <w:sz w:val="24"/>
          <w:szCs w:val="24"/>
        </w:rPr>
        <w:t xml:space="preserve">Nendaz/Bern, </w:t>
      </w:r>
      <w:r w:rsidR="00C911B6">
        <w:rPr>
          <w:rFonts w:ascii="CircularXX TT" w:eastAsia="Calibri" w:hAnsi="CircularXX TT" w:cs="CircularXX TT"/>
          <w:b/>
          <w:bCs/>
          <w:sz w:val="24"/>
          <w:szCs w:val="24"/>
        </w:rPr>
        <w:t>16.</w:t>
      </w:r>
      <w:r w:rsidR="00E96B3D">
        <w:rPr>
          <w:rFonts w:ascii="CircularXX TT" w:eastAsia="Calibri" w:hAnsi="CircularXX TT" w:cs="CircularXX TT"/>
          <w:b/>
          <w:bCs/>
          <w:sz w:val="24"/>
          <w:szCs w:val="24"/>
        </w:rPr>
        <w:t xml:space="preserve"> </w:t>
      </w:r>
      <w:r w:rsidR="00C911B6">
        <w:rPr>
          <w:rFonts w:ascii="CircularXX TT" w:eastAsia="Calibri" w:hAnsi="CircularXX TT" w:cs="CircularXX TT"/>
          <w:b/>
          <w:bCs/>
          <w:sz w:val="24"/>
          <w:szCs w:val="24"/>
        </w:rPr>
        <w:t>Mai 2023</w:t>
      </w:r>
      <w:r w:rsidR="00E96B3D">
        <w:rPr>
          <w:rFonts w:ascii="CircularXX TT" w:eastAsia="Calibri" w:hAnsi="CircularXX TT" w:cs="CircularXX TT"/>
          <w:b/>
          <w:bCs/>
          <w:sz w:val="24"/>
          <w:szCs w:val="24"/>
        </w:rPr>
        <w:t>:</w:t>
      </w:r>
      <w:r w:rsidRPr="003C68C3">
        <w:rPr>
          <w:rFonts w:ascii="CircularXX TT" w:eastAsia="Calibri" w:hAnsi="CircularXX TT" w:cs="CircularXX TT"/>
          <w:b/>
          <w:bCs/>
          <w:sz w:val="24"/>
          <w:szCs w:val="24"/>
        </w:rPr>
        <w:t xml:space="preserve"> Eine Werbefläche der besonderen Art</w:t>
      </w:r>
      <w:r w:rsidRPr="004F396E">
        <w:rPr>
          <w:rFonts w:ascii="CircularXX TT" w:eastAsia="Calibri" w:hAnsi="CircularXX TT" w:cs="CircularXX TT"/>
          <w:b/>
          <w:bCs/>
          <w:sz w:val="24"/>
          <w:szCs w:val="24"/>
        </w:rPr>
        <w:t xml:space="preserve">: Als erste Schweizer Destination überhaupt «brandet» die Walliser Feriendestination </w:t>
      </w:r>
      <w:r w:rsidR="001139FE" w:rsidRPr="004F396E">
        <w:rPr>
          <w:rFonts w:ascii="CircularXX TT" w:eastAsia="Calibri" w:hAnsi="CircularXX TT" w:cs="CircularXX TT"/>
          <w:b/>
          <w:bCs/>
          <w:sz w:val="24"/>
          <w:szCs w:val="24"/>
        </w:rPr>
        <w:t xml:space="preserve">Nendaz in enger Zusammenarbeit mit APG|SGA </w:t>
      </w:r>
      <w:r w:rsidRPr="004F396E">
        <w:rPr>
          <w:rFonts w:ascii="CircularXX TT" w:eastAsia="Calibri" w:hAnsi="CircularXX TT" w:cs="CircularXX TT"/>
          <w:b/>
          <w:bCs/>
          <w:sz w:val="24"/>
          <w:szCs w:val="24"/>
        </w:rPr>
        <w:t>eine Personenlokomotive der SBB. Dies ist einerseits ein nachhaltiges Statement, und andererseits kann sich Nendaz durch diesen Auftritt schweizweit grösster Aufmerksamkeit gewiss sein.</w:t>
      </w:r>
    </w:p>
    <w:p w14:paraId="1C8DA3C9" w14:textId="77777777" w:rsidR="00640933" w:rsidRPr="003C68C3" w:rsidRDefault="00640933" w:rsidP="003C68C3">
      <w:pPr>
        <w:spacing w:line="276" w:lineRule="auto"/>
        <w:jc w:val="both"/>
        <w:rPr>
          <w:rFonts w:ascii="CircularXX TT" w:eastAsia="Calibri" w:hAnsi="CircularXX TT" w:cs="CircularXX TT"/>
          <w:b/>
          <w:bCs/>
          <w:sz w:val="24"/>
          <w:szCs w:val="24"/>
          <w:highlight w:val="yellow"/>
        </w:rPr>
      </w:pPr>
    </w:p>
    <w:p w14:paraId="0D45C342" w14:textId="2A2046F6" w:rsidR="004676ED" w:rsidRPr="003C68C3" w:rsidRDefault="00CF3B7D" w:rsidP="003C68C3">
      <w:pPr>
        <w:spacing w:line="276" w:lineRule="auto"/>
        <w:jc w:val="both"/>
        <w:rPr>
          <w:rFonts w:ascii="CircularXX TT" w:hAnsi="CircularXX TT" w:cs="CircularXX TT"/>
        </w:rPr>
      </w:pPr>
      <w:r w:rsidRPr="003C68C3">
        <w:rPr>
          <w:rFonts w:ascii="CircularXX TT" w:hAnsi="CircularXX TT" w:cs="CircularXX TT"/>
        </w:rPr>
        <w:t xml:space="preserve">Die Walliser Feriendestination Nendaz ist </w:t>
      </w:r>
      <w:r w:rsidR="004676ED" w:rsidRPr="003C68C3">
        <w:rPr>
          <w:rFonts w:ascii="CircularXX TT" w:hAnsi="CircularXX TT" w:cs="CircularXX TT"/>
        </w:rPr>
        <w:t>noch nicht allen Schweizern ein Begriff</w:t>
      </w:r>
      <w:r w:rsidRPr="003C68C3">
        <w:rPr>
          <w:rFonts w:ascii="CircularXX TT" w:hAnsi="CircularXX TT" w:cs="CircularXX TT"/>
        </w:rPr>
        <w:t xml:space="preserve">. </w:t>
      </w:r>
      <w:r w:rsidR="004676ED" w:rsidRPr="003C68C3">
        <w:rPr>
          <w:rFonts w:ascii="CircularXX TT" w:hAnsi="CircularXX TT" w:cs="CircularXX TT"/>
        </w:rPr>
        <w:t xml:space="preserve">Doch die </w:t>
      </w:r>
      <w:r w:rsidRPr="003C68C3">
        <w:rPr>
          <w:rFonts w:ascii="CircularXX TT" w:hAnsi="CircularXX TT" w:cs="CircularXX TT"/>
        </w:rPr>
        <w:t xml:space="preserve">pittoreske Ortschaft über dem Rhonetal </w:t>
      </w:r>
      <w:r w:rsidR="004676ED" w:rsidRPr="003C68C3">
        <w:rPr>
          <w:rFonts w:ascii="CircularXX TT" w:hAnsi="CircularXX TT" w:cs="CircularXX TT"/>
        </w:rPr>
        <w:t xml:space="preserve">bietet </w:t>
      </w:r>
      <w:r w:rsidRPr="003C68C3">
        <w:rPr>
          <w:rFonts w:ascii="CircularXX TT" w:hAnsi="CircularXX TT" w:cs="CircularXX TT"/>
        </w:rPr>
        <w:t>sowohl im Winter wie auch im Sommer eine äusserst reiche Palette an Aktivitäten vor einer prächtigen Naturkulisse – samt fantastischer Aussicht auf die Berner</w:t>
      </w:r>
      <w:r w:rsidR="00E96B3D">
        <w:rPr>
          <w:rFonts w:ascii="CircularXX TT" w:hAnsi="CircularXX TT" w:cs="CircularXX TT"/>
        </w:rPr>
        <w:t xml:space="preserve"> und Walliser </w:t>
      </w:r>
      <w:r w:rsidRPr="003C68C3">
        <w:rPr>
          <w:rFonts w:ascii="CircularXX TT" w:hAnsi="CircularXX TT" w:cs="CircularXX TT"/>
        </w:rPr>
        <w:t xml:space="preserve">Alpen. </w:t>
      </w:r>
    </w:p>
    <w:p w14:paraId="1EC02238" w14:textId="77777777" w:rsidR="00640933" w:rsidRPr="003C68C3" w:rsidRDefault="00640933" w:rsidP="003C68C3">
      <w:pPr>
        <w:spacing w:line="276" w:lineRule="auto"/>
        <w:jc w:val="both"/>
        <w:rPr>
          <w:rFonts w:ascii="CircularXX TT" w:hAnsi="CircularXX TT" w:cs="CircularXX TT"/>
          <w:b/>
          <w:bCs/>
        </w:rPr>
      </w:pPr>
    </w:p>
    <w:p w14:paraId="6F14CF62" w14:textId="047BBC53" w:rsidR="00640933" w:rsidRDefault="00640933" w:rsidP="003C68C3">
      <w:pPr>
        <w:spacing w:line="276" w:lineRule="auto"/>
        <w:jc w:val="both"/>
        <w:rPr>
          <w:rFonts w:ascii="CircularXX TT" w:hAnsi="CircularXX TT" w:cs="CircularXX TT"/>
          <w:b/>
          <w:bCs/>
        </w:rPr>
      </w:pPr>
      <w:r w:rsidRPr="003C68C3">
        <w:rPr>
          <w:rFonts w:ascii="CircularXX TT" w:hAnsi="CircularXX TT" w:cs="CircularXX TT"/>
          <w:b/>
          <w:bCs/>
        </w:rPr>
        <w:t>Ein echter Hingucker</w:t>
      </w:r>
    </w:p>
    <w:p w14:paraId="1131F130" w14:textId="77777777" w:rsidR="00EA6D58" w:rsidRPr="003C68C3" w:rsidRDefault="00EA6D58" w:rsidP="003C68C3">
      <w:pPr>
        <w:spacing w:line="276" w:lineRule="auto"/>
        <w:jc w:val="both"/>
        <w:rPr>
          <w:rFonts w:ascii="CircularXX TT" w:hAnsi="CircularXX TT" w:cs="CircularXX TT"/>
          <w:b/>
          <w:bCs/>
        </w:rPr>
      </w:pPr>
    </w:p>
    <w:p w14:paraId="368AC125" w14:textId="36069094" w:rsidR="00CF3B7D" w:rsidRPr="003C68C3" w:rsidRDefault="00CF3B7D" w:rsidP="003C68C3">
      <w:pPr>
        <w:spacing w:line="276" w:lineRule="auto"/>
        <w:jc w:val="both"/>
        <w:rPr>
          <w:rFonts w:ascii="CircularXX TT" w:hAnsi="CircularXX TT" w:cs="CircularXX TT"/>
        </w:rPr>
      </w:pPr>
      <w:r w:rsidRPr="003C68C3">
        <w:rPr>
          <w:rFonts w:ascii="CircularXX TT" w:hAnsi="CircularXX TT" w:cs="CircularXX TT"/>
        </w:rPr>
        <w:t>Um die Bekanntheit der Walliser Region insbesondere in der Deutschschweiz noch weiter zu fördern, entschieden sich die Tourismusverantwortlichen für einen wahrlich speziellen Werbeträger</w:t>
      </w:r>
      <w:r w:rsidR="004676ED" w:rsidRPr="003C68C3">
        <w:rPr>
          <w:rFonts w:ascii="CircularXX TT" w:hAnsi="CircularXX TT" w:cs="CircularXX TT"/>
        </w:rPr>
        <w:t>. Bei</w:t>
      </w:r>
      <w:r w:rsidR="00640933" w:rsidRPr="003C68C3">
        <w:rPr>
          <w:rFonts w:ascii="CircularXX TT" w:hAnsi="CircularXX TT" w:cs="CircularXX TT"/>
        </w:rPr>
        <w:t xml:space="preserve"> dessen Evaluierung spielten diverse Faktoren eine zentrale Rolle – so sollte die Werbung über einen langen Zeitraum und alle Schweizer Regionen sichtbar sein, ein </w:t>
      </w:r>
      <w:r w:rsidR="00640933" w:rsidRPr="004F396E">
        <w:rPr>
          <w:rFonts w:ascii="CircularXX TT" w:hAnsi="CircularXX TT" w:cs="CircularXX TT"/>
        </w:rPr>
        <w:t>sympathisches Image vermitteln und nachhaltig sein. Ein Lokbranding vereint nun alle diese Wunschvorstellungen auf perfekte Weise.</w:t>
      </w:r>
      <w:r w:rsidRPr="004F396E">
        <w:rPr>
          <w:rFonts w:ascii="CircularXX TT" w:hAnsi="CircularXX TT" w:cs="CircularXX TT"/>
        </w:rPr>
        <w:t xml:space="preserve"> </w:t>
      </w:r>
      <w:r w:rsidR="00640933" w:rsidRPr="004F396E">
        <w:rPr>
          <w:rFonts w:ascii="CircularXX TT" w:hAnsi="CircularXX TT" w:cs="CircularXX TT"/>
        </w:rPr>
        <w:t>In der Tat</w:t>
      </w:r>
      <w:r w:rsidRPr="004F396E">
        <w:rPr>
          <w:rFonts w:ascii="CircularXX TT" w:hAnsi="CircularXX TT" w:cs="CircularXX TT"/>
        </w:rPr>
        <w:t xml:space="preserve"> ist die Ganzgestaltung einer Lokomotive zweifellos eine aussergewöhnliche und effektvolle Art, eine Destination in Szene zu setzen.</w:t>
      </w:r>
      <w:r w:rsidR="001139FE" w:rsidRPr="004F396E">
        <w:rPr>
          <w:rFonts w:ascii="CircularXX TT" w:hAnsi="CircularXX TT" w:cs="CircularXX TT"/>
        </w:rPr>
        <w:t xml:space="preserve"> Das Projekt wurde von Beginn weg von der APG|SGA begleitet und gemeinsam erfolgreich umgesetzt.</w:t>
      </w:r>
      <w:r w:rsidR="001139FE">
        <w:rPr>
          <w:rFonts w:ascii="CircularXX TT" w:hAnsi="CircularXX TT" w:cs="CircularXX TT"/>
        </w:rPr>
        <w:t xml:space="preserve"> </w:t>
      </w:r>
    </w:p>
    <w:p w14:paraId="04208C66" w14:textId="77777777" w:rsidR="00CF3B7D" w:rsidRPr="003C68C3" w:rsidRDefault="00CF3B7D" w:rsidP="003C68C3">
      <w:pPr>
        <w:spacing w:line="276" w:lineRule="auto"/>
        <w:jc w:val="both"/>
        <w:rPr>
          <w:rFonts w:ascii="CircularXX TT" w:hAnsi="CircularXX TT" w:cs="CircularXX TT"/>
          <w:b/>
          <w:bCs/>
        </w:rPr>
      </w:pPr>
    </w:p>
    <w:p w14:paraId="6FB6E45E" w14:textId="14FC0EFC" w:rsidR="00CF3B7D" w:rsidRPr="003C68C3" w:rsidRDefault="00640933" w:rsidP="003C68C3">
      <w:pPr>
        <w:spacing w:line="276" w:lineRule="auto"/>
        <w:jc w:val="both"/>
        <w:rPr>
          <w:rFonts w:ascii="CircularXX TT" w:hAnsi="CircularXX TT" w:cs="CircularXX TT"/>
          <w:b/>
          <w:bCs/>
        </w:rPr>
      </w:pPr>
      <w:r w:rsidRPr="003C68C3">
        <w:rPr>
          <w:rFonts w:ascii="CircularXX TT" w:hAnsi="CircularXX TT" w:cs="CircularXX TT"/>
          <w:b/>
          <w:bCs/>
        </w:rPr>
        <w:t>365 Tage lang schweizweit sichtbar</w:t>
      </w:r>
    </w:p>
    <w:p w14:paraId="5663D6A5" w14:textId="334F09EF" w:rsidR="00CF3B7D" w:rsidRPr="003C68C3" w:rsidRDefault="00CF3B7D" w:rsidP="003C68C3">
      <w:pPr>
        <w:spacing w:line="276" w:lineRule="auto"/>
        <w:jc w:val="both"/>
        <w:rPr>
          <w:rFonts w:ascii="CircularXX TT" w:hAnsi="CircularXX TT" w:cs="CircularXX TT"/>
        </w:rPr>
      </w:pPr>
      <w:r w:rsidRPr="003C68C3">
        <w:rPr>
          <w:rFonts w:ascii="CircularXX TT" w:hAnsi="CircularXX TT" w:cs="CircularXX TT"/>
        </w:rPr>
        <w:t>Dabei handelt es sich um eine Premiere: Nendaz ist die erste Schweizer Destination, welche auf dieses Branding setzt. Ab sofort zirkuliert die Lokomotive im Nendaz-Look auf dem nationalen Fernverkehrsnetz der SBB und sorgt damit schweizweit für viel Aufmerksamkeit. Während der nächsten 365 Tage wird der mobile Werbeträger rund 285’00</w:t>
      </w:r>
      <w:r w:rsidR="00E96B3D">
        <w:rPr>
          <w:rFonts w:ascii="CircularXX TT" w:hAnsi="CircularXX TT" w:cs="CircularXX TT"/>
        </w:rPr>
        <w:t>0</w:t>
      </w:r>
      <w:r w:rsidRPr="003C68C3">
        <w:rPr>
          <w:rFonts w:ascii="CircularXX TT" w:hAnsi="CircularXX TT" w:cs="CircularXX TT"/>
        </w:rPr>
        <w:t xml:space="preserve"> Kilometer zurücklegen – was etwa einer siebenmaligen Weltumrundung entspricht. Bis zu einer Million Menschen werden somit täglich auf die idyllische Feriendestination aufmerksam gemacht, die Bekanntheit von Nendaz dürfte sich somit signifikant steigern.</w:t>
      </w:r>
    </w:p>
    <w:p w14:paraId="4F2E5261" w14:textId="77777777" w:rsidR="00CF3B7D" w:rsidRPr="003C68C3" w:rsidRDefault="00CF3B7D" w:rsidP="003C68C3">
      <w:pPr>
        <w:spacing w:line="276" w:lineRule="auto"/>
        <w:jc w:val="both"/>
        <w:rPr>
          <w:rFonts w:ascii="CircularXX TT" w:hAnsi="CircularXX TT" w:cs="CircularXX TT"/>
          <w:b/>
          <w:bCs/>
        </w:rPr>
      </w:pPr>
    </w:p>
    <w:p w14:paraId="3F1B364B" w14:textId="14BAFC20" w:rsidR="00CF3B7D" w:rsidRPr="003C68C3" w:rsidRDefault="00CF3B7D" w:rsidP="003C68C3">
      <w:pPr>
        <w:spacing w:line="276" w:lineRule="auto"/>
        <w:jc w:val="both"/>
        <w:rPr>
          <w:rFonts w:ascii="CircularXX TT" w:hAnsi="CircularXX TT" w:cs="CircularXX TT"/>
          <w:b/>
          <w:bCs/>
        </w:rPr>
      </w:pPr>
      <w:bookmarkStart w:id="0" w:name="_Hlk134705338"/>
      <w:r w:rsidRPr="003C68C3">
        <w:rPr>
          <w:rFonts w:ascii="CircularXX TT" w:hAnsi="CircularXX TT" w:cs="CircularXX TT"/>
          <w:b/>
          <w:bCs/>
        </w:rPr>
        <w:t xml:space="preserve">Kraftvolle </w:t>
      </w:r>
      <w:r w:rsidR="00351B88">
        <w:rPr>
          <w:rFonts w:ascii="CircularXX TT" w:hAnsi="CircularXX TT" w:cs="CircularXX TT"/>
          <w:b/>
          <w:bCs/>
        </w:rPr>
        <w:t>«</w:t>
      </w:r>
      <w:r w:rsidRPr="003C68C3">
        <w:rPr>
          <w:rFonts w:ascii="CircularXX TT" w:hAnsi="CircularXX TT" w:cs="CircularXX TT"/>
          <w:b/>
          <w:bCs/>
        </w:rPr>
        <w:t>Zugmaschine</w:t>
      </w:r>
      <w:r w:rsidR="00351B88">
        <w:rPr>
          <w:rFonts w:ascii="CircularXX TT" w:hAnsi="CircularXX TT" w:cs="CircularXX TT"/>
          <w:b/>
          <w:bCs/>
        </w:rPr>
        <w:t>»</w:t>
      </w:r>
    </w:p>
    <w:bookmarkEnd w:id="0"/>
    <w:p w14:paraId="50EA7839" w14:textId="77777777" w:rsidR="00351B88" w:rsidRPr="00351B88" w:rsidRDefault="00351B88" w:rsidP="001139FE">
      <w:pPr>
        <w:spacing w:line="276" w:lineRule="auto"/>
        <w:jc w:val="both"/>
        <w:rPr>
          <w:rFonts w:ascii="CircularXX TT" w:hAnsi="CircularXX TT" w:cs="CircularXX TT"/>
        </w:rPr>
      </w:pPr>
      <w:r w:rsidRPr="00351B88">
        <w:rPr>
          <w:rFonts w:ascii="CircularXX TT" w:hAnsi="CircularXX TT" w:cs="CircularXX TT"/>
        </w:rPr>
        <w:t>Klar ist: Eine Lokomotive als Werbeträger ist für Nendaz eine hervorragende Möglichkeit, um auf die Schönheiten seiner Landschaft und seine Angebote aufmerksam zu machen.</w:t>
      </w:r>
    </w:p>
    <w:p w14:paraId="7AD20C60" w14:textId="241B7317" w:rsidR="00351B88" w:rsidRPr="00351B88" w:rsidRDefault="00351B88" w:rsidP="001139FE">
      <w:pPr>
        <w:spacing w:line="276" w:lineRule="auto"/>
        <w:jc w:val="both"/>
        <w:rPr>
          <w:rFonts w:ascii="CircularXX TT" w:hAnsi="CircularXX TT" w:cs="CircularXX TT"/>
        </w:rPr>
      </w:pPr>
      <w:r w:rsidRPr="00351B88">
        <w:rPr>
          <w:rFonts w:ascii="CircularXX TT" w:hAnsi="CircularXX TT" w:cs="CircularXX TT"/>
        </w:rPr>
        <w:t>Der Entscheid, eine solche als Botschafter</w:t>
      </w:r>
      <w:r>
        <w:rPr>
          <w:rFonts w:ascii="CircularXX TT" w:hAnsi="CircularXX TT" w:cs="CircularXX TT"/>
        </w:rPr>
        <w:t>in</w:t>
      </w:r>
      <w:r w:rsidRPr="00351B88">
        <w:rPr>
          <w:rFonts w:ascii="CircularXX TT" w:hAnsi="CircularXX TT" w:cs="CircularXX TT"/>
        </w:rPr>
        <w:t xml:space="preserve"> für ihr Dorf und ihre Region einzusetzen ist aber gleichzeitig auch ein klares Bekenntnis zu Nachhaltigkeit.</w:t>
      </w:r>
      <w:r>
        <w:rPr>
          <w:rFonts w:ascii="CircularXX TT" w:hAnsi="CircularXX TT" w:cs="CircularXX TT"/>
        </w:rPr>
        <w:t xml:space="preserve"> </w:t>
      </w:r>
      <w:r w:rsidRPr="00351B88">
        <w:rPr>
          <w:rFonts w:ascii="CircularXX TT" w:hAnsi="CircularXX TT" w:cs="CircularXX TT"/>
        </w:rPr>
        <w:t xml:space="preserve">Nendaz setzt sich schon lange für einen schonenden Umgang mit den natürlichen Ressourcen ein und nimmt seine soziale </w:t>
      </w:r>
      <w:r w:rsidRPr="00351B88">
        <w:rPr>
          <w:rFonts w:ascii="CircularXX TT" w:hAnsi="CircularXX TT" w:cs="CircularXX TT"/>
        </w:rPr>
        <w:lastRenderedPageBreak/>
        <w:t>Verantwortung wahr.</w:t>
      </w:r>
      <w:r>
        <w:rPr>
          <w:rFonts w:ascii="CircularXX TT" w:hAnsi="CircularXX TT" w:cs="CircularXX TT"/>
        </w:rPr>
        <w:t xml:space="preserve"> </w:t>
      </w:r>
      <w:r w:rsidRPr="00351B88">
        <w:rPr>
          <w:rFonts w:ascii="CircularXX TT" w:hAnsi="CircularXX TT" w:cs="CircularXX TT"/>
        </w:rPr>
        <w:t>Zudem ist das Walliser Dorf auch ideal mit den öffentlichen Verkehrsmitteln zu erreichen.</w:t>
      </w:r>
    </w:p>
    <w:p w14:paraId="74339620" w14:textId="77777777" w:rsidR="00CF3B7D" w:rsidRPr="003C68C3" w:rsidRDefault="00CF3B7D" w:rsidP="003C68C3">
      <w:pPr>
        <w:spacing w:line="276" w:lineRule="auto"/>
        <w:jc w:val="both"/>
        <w:rPr>
          <w:rFonts w:ascii="CircularXX TT" w:hAnsi="CircularXX TT" w:cs="CircularXX TT"/>
        </w:rPr>
      </w:pPr>
    </w:p>
    <w:p w14:paraId="44252EF0" w14:textId="16FF88E0" w:rsidR="003C68C3" w:rsidRPr="003C68C3" w:rsidRDefault="003C68C3" w:rsidP="003C68C3">
      <w:pPr>
        <w:spacing w:line="276" w:lineRule="auto"/>
        <w:ind w:right="-144"/>
        <w:jc w:val="both"/>
        <w:rPr>
          <w:rFonts w:ascii="CircularXX TT" w:eastAsia="Calibri" w:hAnsi="CircularXX TT" w:cs="CircularXX TT"/>
          <w:bCs/>
          <w:lang w:eastAsia="zh-CN"/>
        </w:rPr>
      </w:pPr>
      <w:r w:rsidRPr="003C68C3">
        <w:rPr>
          <w:rFonts w:ascii="CircularXX TT" w:eastAsia="Calibri" w:hAnsi="CircularXX TT" w:cs="CircularXX TT"/>
          <w:bCs/>
          <w:lang w:eastAsia="zh-CN"/>
        </w:rPr>
        <w:t xml:space="preserve">Weiterführende Infos zu Nendaz finden Sie </w:t>
      </w:r>
      <w:hyperlink r:id="rId6" w:history="1">
        <w:r w:rsidRPr="003C68C3">
          <w:rPr>
            <w:rStyle w:val="Hyperlink"/>
            <w:rFonts w:ascii="CircularXX TT" w:eastAsia="Calibri" w:hAnsi="CircularXX TT" w:cs="CircularXX TT"/>
            <w:bCs/>
            <w:lang w:eastAsia="zh-CN"/>
          </w:rPr>
          <w:t>hie</w:t>
        </w:r>
        <w:r w:rsidRPr="003C68C3">
          <w:rPr>
            <w:rStyle w:val="Hyperlink"/>
            <w:rFonts w:ascii="CircularXX TT" w:eastAsia="Calibri" w:hAnsi="CircularXX TT" w:cs="CircularXX TT"/>
            <w:bCs/>
            <w:lang w:eastAsia="zh-CN"/>
          </w:rPr>
          <w:t>r</w:t>
        </w:r>
      </w:hyperlink>
      <w:r w:rsidRPr="003C68C3">
        <w:rPr>
          <w:rFonts w:ascii="CircularXX TT" w:eastAsia="Calibri" w:hAnsi="CircularXX TT" w:cs="CircularXX TT"/>
          <w:bCs/>
          <w:lang w:eastAsia="zh-CN"/>
        </w:rPr>
        <w:t xml:space="preserve"> </w:t>
      </w:r>
    </w:p>
    <w:p w14:paraId="01B27386" w14:textId="77777777" w:rsidR="001139FE" w:rsidRDefault="001139FE" w:rsidP="001139FE">
      <w:pPr>
        <w:spacing w:line="276" w:lineRule="auto"/>
        <w:ind w:right="-144"/>
        <w:jc w:val="both"/>
        <w:rPr>
          <w:rFonts w:ascii="CircularXX TT" w:eastAsia="Calibri" w:hAnsi="CircularXX TT" w:cs="CircularXX TT"/>
          <w:bCs/>
          <w:lang w:eastAsia="zh-CN"/>
        </w:rPr>
      </w:pPr>
    </w:p>
    <w:p w14:paraId="2388D08C" w14:textId="430DC103" w:rsidR="001139FE" w:rsidRDefault="001139FE" w:rsidP="001139FE">
      <w:pPr>
        <w:spacing w:line="276" w:lineRule="auto"/>
        <w:ind w:right="-144"/>
        <w:jc w:val="both"/>
        <w:rPr>
          <w:rFonts w:ascii="CircularXX TT" w:eastAsia="Calibri" w:hAnsi="CircularXX TT" w:cs="CircularXX TT"/>
          <w:bCs/>
          <w:lang w:eastAsia="zh-CN"/>
        </w:rPr>
      </w:pPr>
      <w:r w:rsidRPr="004F396E">
        <w:rPr>
          <w:rFonts w:ascii="CircularXX TT" w:eastAsia="Calibri" w:hAnsi="CircularXX TT" w:cs="CircularXX TT"/>
          <w:bCs/>
          <w:lang w:eastAsia="zh-CN"/>
        </w:rPr>
        <w:t xml:space="preserve">Weiterführende Infos zu Umsetzungen von Werbeloks bei der APG|SGA finden Sie hier (verlinken mit </w:t>
      </w:r>
      <w:hyperlink r:id="rId7" w:history="1">
        <w:r w:rsidRPr="004F396E">
          <w:rPr>
            <w:rStyle w:val="Hyperlink"/>
            <w:rFonts w:ascii="Arial" w:hAnsi="Arial" w:cs="Times New Roman"/>
            <w:sz w:val="20"/>
          </w:rPr>
          <w:t>https://www.apgsga.ch/de/aktionen/werbelok/</w:t>
        </w:r>
      </w:hyperlink>
      <w:r w:rsidRPr="004F396E">
        <w:rPr>
          <w:rFonts w:ascii="Arial" w:hAnsi="Arial" w:cs="Times New Roman"/>
          <w:sz w:val="20"/>
        </w:rPr>
        <w:t>)</w:t>
      </w:r>
    </w:p>
    <w:p w14:paraId="618676C4" w14:textId="77777777" w:rsidR="003C68C3" w:rsidRPr="003C68C3" w:rsidRDefault="003C68C3" w:rsidP="003C68C3">
      <w:pPr>
        <w:spacing w:line="276" w:lineRule="auto"/>
        <w:ind w:right="-144"/>
        <w:jc w:val="both"/>
        <w:rPr>
          <w:rFonts w:ascii="CircularXX TT" w:eastAsia="Calibri" w:hAnsi="CircularXX TT" w:cs="CircularXX TT"/>
          <w:bCs/>
          <w:lang w:eastAsia="zh-CN"/>
        </w:rPr>
      </w:pPr>
    </w:p>
    <w:p w14:paraId="7E872546" w14:textId="165C9810" w:rsidR="003C68C3" w:rsidRPr="003C68C3" w:rsidRDefault="003C68C3" w:rsidP="003C68C3">
      <w:pPr>
        <w:spacing w:line="276" w:lineRule="auto"/>
        <w:ind w:right="-144"/>
        <w:jc w:val="both"/>
        <w:rPr>
          <w:rFonts w:ascii="CircularXX TT" w:eastAsia="Calibri" w:hAnsi="CircularXX TT" w:cs="CircularXX TT"/>
          <w:bCs/>
          <w:lang w:eastAsia="zh-CN"/>
        </w:rPr>
      </w:pPr>
      <w:r w:rsidRPr="003C68C3">
        <w:rPr>
          <w:rFonts w:ascii="CircularXX TT" w:eastAsia="Calibri" w:hAnsi="CircularXX TT" w:cs="CircularXX TT"/>
          <w:bCs/>
          <w:lang w:eastAsia="zh-CN"/>
        </w:rPr>
        <w:t xml:space="preserve">Bildmaterial mit Copyrights finden Sie </w:t>
      </w:r>
      <w:hyperlink r:id="rId8" w:history="1">
        <w:r w:rsidRPr="00540ECD">
          <w:rPr>
            <w:rStyle w:val="Hyperlink"/>
            <w:rFonts w:ascii="CircularXX TT" w:eastAsia="Calibri" w:hAnsi="CircularXX TT" w:cs="CircularXX TT"/>
            <w:bCs/>
            <w:lang w:eastAsia="zh-CN"/>
          </w:rPr>
          <w:t>h</w:t>
        </w:r>
        <w:r w:rsidRPr="00540ECD">
          <w:rPr>
            <w:rStyle w:val="Hyperlink"/>
            <w:rFonts w:ascii="CircularXX TT" w:eastAsia="Calibri" w:hAnsi="CircularXX TT" w:cs="CircularXX TT"/>
            <w:bCs/>
            <w:lang w:eastAsia="zh-CN"/>
          </w:rPr>
          <w:t>i</w:t>
        </w:r>
        <w:r w:rsidRPr="00540ECD">
          <w:rPr>
            <w:rStyle w:val="Hyperlink"/>
            <w:rFonts w:ascii="CircularXX TT" w:eastAsia="Calibri" w:hAnsi="CircularXX TT" w:cs="CircularXX TT"/>
            <w:bCs/>
            <w:lang w:eastAsia="zh-CN"/>
          </w:rPr>
          <w:t>e</w:t>
        </w:r>
        <w:r w:rsidRPr="00540ECD">
          <w:rPr>
            <w:rStyle w:val="Hyperlink"/>
            <w:rFonts w:ascii="CircularXX TT" w:eastAsia="Calibri" w:hAnsi="CircularXX TT" w:cs="CircularXX TT"/>
            <w:bCs/>
            <w:lang w:eastAsia="zh-CN"/>
          </w:rPr>
          <w:t>r</w:t>
        </w:r>
      </w:hyperlink>
      <w:r w:rsidRPr="003C68C3">
        <w:rPr>
          <w:rFonts w:ascii="CircularXX TT" w:eastAsia="Calibri" w:hAnsi="CircularXX TT" w:cs="CircularXX TT"/>
          <w:bCs/>
          <w:lang w:eastAsia="zh-CN"/>
        </w:rPr>
        <w:t xml:space="preserve"> </w:t>
      </w:r>
    </w:p>
    <w:p w14:paraId="21ADFA19" w14:textId="77777777" w:rsidR="003C68C3" w:rsidRPr="003C68C3" w:rsidRDefault="003C68C3" w:rsidP="003C68C3">
      <w:pPr>
        <w:spacing w:line="276" w:lineRule="auto"/>
        <w:ind w:right="-144"/>
        <w:jc w:val="both"/>
        <w:rPr>
          <w:rFonts w:ascii="CircularXX TT" w:eastAsia="Calibri" w:hAnsi="CircularXX TT" w:cs="CircularXX TT"/>
          <w:bCs/>
          <w:lang w:eastAsia="zh-CN"/>
        </w:rPr>
      </w:pPr>
    </w:p>
    <w:p w14:paraId="2A605ABD" w14:textId="77777777" w:rsidR="003C68C3" w:rsidRPr="003C68C3" w:rsidRDefault="003C68C3" w:rsidP="003C68C3">
      <w:pPr>
        <w:pBdr>
          <w:top w:val="single" w:sz="4" w:space="1" w:color="auto"/>
          <w:left w:val="single" w:sz="4" w:space="4" w:color="auto"/>
          <w:right w:val="single" w:sz="4" w:space="4" w:color="auto"/>
        </w:pBdr>
        <w:spacing w:line="276" w:lineRule="auto"/>
        <w:ind w:right="-144"/>
        <w:jc w:val="both"/>
        <w:rPr>
          <w:rFonts w:ascii="CircularXX TT" w:eastAsia="Times New Roman" w:hAnsi="CircularXX TT" w:cs="CircularXX TT"/>
          <w:bCs/>
          <w:lang w:eastAsia="de-DE"/>
        </w:rPr>
      </w:pPr>
      <w:r w:rsidRPr="003C68C3">
        <w:rPr>
          <w:rFonts w:ascii="CircularXX TT" w:eastAsia="Times New Roman" w:hAnsi="CircularXX TT" w:cs="CircularXX TT"/>
          <w:bCs/>
          <w:lang w:eastAsia="de-DE"/>
        </w:rPr>
        <w:t>Für weitere Informationen und Bilder (Medien):</w:t>
      </w:r>
    </w:p>
    <w:p w14:paraId="4D85CD57" w14:textId="77777777" w:rsidR="003C68C3" w:rsidRPr="003C68C3" w:rsidRDefault="003C68C3" w:rsidP="003C68C3">
      <w:pPr>
        <w:pBdr>
          <w:left w:val="single" w:sz="4" w:space="4" w:color="auto"/>
          <w:bottom w:val="single" w:sz="4" w:space="1" w:color="auto"/>
          <w:right w:val="single" w:sz="4" w:space="4" w:color="auto"/>
        </w:pBdr>
        <w:spacing w:line="276" w:lineRule="auto"/>
        <w:ind w:right="-142"/>
        <w:jc w:val="both"/>
        <w:rPr>
          <w:rFonts w:ascii="CircularXX TT" w:eastAsia="Times New Roman" w:hAnsi="CircularXX TT" w:cs="CircularXX TT"/>
          <w:bCs/>
          <w:lang w:eastAsia="de-DE"/>
        </w:rPr>
      </w:pPr>
      <w:r w:rsidRPr="003C68C3">
        <w:rPr>
          <w:rFonts w:ascii="CircularXX TT" w:eastAsia="Times New Roman" w:hAnsi="CircularXX TT" w:cs="CircularXX TT"/>
          <w:bCs/>
          <w:lang w:eastAsia="de-DE"/>
        </w:rPr>
        <w:t>Agata Dianiskova &amp; Gere Gretz</w:t>
      </w:r>
    </w:p>
    <w:p w14:paraId="212363CA" w14:textId="309EA646" w:rsidR="003C68C3" w:rsidRPr="003C68C3" w:rsidRDefault="00FD7217" w:rsidP="003C68C3">
      <w:pPr>
        <w:pBdr>
          <w:left w:val="single" w:sz="4" w:space="4" w:color="auto"/>
          <w:bottom w:val="single" w:sz="4" w:space="1" w:color="auto"/>
          <w:right w:val="single" w:sz="4" w:space="4" w:color="auto"/>
        </w:pBdr>
        <w:spacing w:line="276" w:lineRule="auto"/>
        <w:ind w:right="-142"/>
        <w:jc w:val="both"/>
        <w:rPr>
          <w:rFonts w:ascii="CircularXX TT" w:eastAsia="Times New Roman" w:hAnsi="CircularXX TT" w:cs="CircularXX TT"/>
          <w:bCs/>
          <w:lang w:eastAsia="de-DE"/>
        </w:rPr>
      </w:pPr>
      <w:r>
        <w:rPr>
          <w:rFonts w:ascii="CircularXX TT" w:eastAsia="Times New Roman" w:hAnsi="CircularXX TT" w:cs="CircularXX TT"/>
          <w:bCs/>
          <w:lang w:eastAsia="de-DE"/>
        </w:rPr>
        <w:t>Projektkoordination</w:t>
      </w:r>
      <w:r w:rsidR="003C68C3" w:rsidRPr="003C68C3">
        <w:rPr>
          <w:rFonts w:ascii="CircularXX TT" w:eastAsia="Times New Roman" w:hAnsi="CircularXX TT" w:cs="CircularXX TT"/>
          <w:bCs/>
          <w:lang w:eastAsia="de-DE"/>
        </w:rPr>
        <w:t xml:space="preserve"> </w:t>
      </w:r>
      <w:r w:rsidR="00E96B3D">
        <w:rPr>
          <w:rFonts w:ascii="CircularXX TT" w:eastAsia="Times New Roman" w:hAnsi="CircularXX TT" w:cs="CircularXX TT"/>
          <w:bCs/>
          <w:lang w:eastAsia="de-DE"/>
        </w:rPr>
        <w:t>Nendaz Tourismus</w:t>
      </w:r>
      <w:r w:rsidR="003C68C3" w:rsidRPr="003C68C3">
        <w:rPr>
          <w:rFonts w:ascii="CircularXX TT" w:eastAsia="Times New Roman" w:hAnsi="CircularXX TT" w:cs="CircularXX TT"/>
          <w:bCs/>
          <w:lang w:eastAsia="de-DE"/>
        </w:rPr>
        <w:t>, c/o Gretz Communications AG</w:t>
      </w:r>
    </w:p>
    <w:p w14:paraId="65B80669" w14:textId="77777777" w:rsidR="003C68C3" w:rsidRPr="003C68C3" w:rsidRDefault="003C68C3" w:rsidP="003C68C3">
      <w:pPr>
        <w:pBdr>
          <w:left w:val="single" w:sz="4" w:space="4" w:color="auto"/>
          <w:bottom w:val="single" w:sz="4" w:space="1" w:color="auto"/>
          <w:right w:val="single" w:sz="4" w:space="4" w:color="auto"/>
        </w:pBdr>
        <w:spacing w:line="276" w:lineRule="auto"/>
        <w:ind w:right="-142"/>
        <w:jc w:val="both"/>
        <w:rPr>
          <w:rFonts w:ascii="CircularXX TT" w:eastAsia="Times New Roman" w:hAnsi="CircularXX TT" w:cs="CircularXX TT"/>
          <w:bCs/>
          <w:lang w:eastAsia="de-DE"/>
        </w:rPr>
      </w:pPr>
      <w:r w:rsidRPr="003C68C3">
        <w:rPr>
          <w:rFonts w:ascii="CircularXX TT" w:eastAsia="Times New Roman" w:hAnsi="CircularXX TT" w:cs="CircularXX TT"/>
          <w:bCs/>
          <w:lang w:eastAsia="de-DE"/>
        </w:rPr>
        <w:t>Zähringerstrasse 16, CH-3012 Bern</w:t>
      </w:r>
    </w:p>
    <w:p w14:paraId="5FDAD5AA" w14:textId="77777777" w:rsidR="003C68C3" w:rsidRPr="003C68C3" w:rsidRDefault="003C68C3" w:rsidP="003C68C3">
      <w:pPr>
        <w:pBdr>
          <w:left w:val="single" w:sz="4" w:space="4" w:color="auto"/>
          <w:bottom w:val="single" w:sz="4" w:space="1" w:color="auto"/>
          <w:right w:val="single" w:sz="4" w:space="4" w:color="auto"/>
        </w:pBdr>
        <w:spacing w:line="276" w:lineRule="auto"/>
        <w:ind w:right="-142"/>
        <w:jc w:val="both"/>
        <w:rPr>
          <w:rFonts w:ascii="CircularXX TT" w:eastAsia="Times New Roman" w:hAnsi="CircularXX TT" w:cs="CircularXX TT"/>
          <w:bCs/>
          <w:lang w:eastAsia="de-DE"/>
        </w:rPr>
      </w:pPr>
      <w:r w:rsidRPr="003C68C3">
        <w:rPr>
          <w:rFonts w:ascii="CircularXX TT" w:eastAsia="Times New Roman" w:hAnsi="CircularXX TT" w:cs="CircularXX TT"/>
          <w:bCs/>
          <w:lang w:eastAsia="de-DE"/>
        </w:rPr>
        <w:t xml:space="preserve">Tel. +41 31 300 30 70, E-Mail: </w:t>
      </w:r>
      <w:hyperlink r:id="rId9" w:history="1">
        <w:r w:rsidRPr="003C68C3">
          <w:rPr>
            <w:rStyle w:val="Hyperlink"/>
            <w:rFonts w:ascii="CircularXX TT" w:hAnsi="CircularXX TT" w:cs="CircularXX TT"/>
            <w:bCs/>
            <w:lang w:eastAsia="de-DE"/>
          </w:rPr>
          <w:t>info@gretzcom.ch</w:t>
        </w:r>
      </w:hyperlink>
      <w:r w:rsidRPr="003C68C3">
        <w:rPr>
          <w:rFonts w:ascii="CircularXX TT" w:eastAsia="Times New Roman" w:hAnsi="CircularXX TT" w:cs="CircularXX TT"/>
          <w:bCs/>
          <w:lang w:eastAsia="de-DE"/>
        </w:rPr>
        <w:t xml:space="preserve"> </w:t>
      </w:r>
    </w:p>
    <w:p w14:paraId="6943CDB2" w14:textId="77777777" w:rsidR="003C68C3" w:rsidRPr="003C68C3" w:rsidRDefault="003C68C3" w:rsidP="003C68C3">
      <w:pPr>
        <w:spacing w:line="276" w:lineRule="auto"/>
        <w:ind w:right="-144"/>
        <w:jc w:val="both"/>
        <w:rPr>
          <w:rFonts w:ascii="CircularXX TT" w:eastAsia="Calibri" w:hAnsi="CircularXX TT" w:cs="CircularXX TT"/>
          <w:b/>
          <w:sz w:val="18"/>
          <w:szCs w:val="18"/>
          <w:lang w:eastAsia="zh-CN"/>
        </w:rPr>
      </w:pPr>
    </w:p>
    <w:p w14:paraId="693717ED" w14:textId="4D9341F3" w:rsidR="003C68C3" w:rsidRPr="003C68C3" w:rsidRDefault="003C68C3" w:rsidP="003C68C3">
      <w:pPr>
        <w:spacing w:line="276" w:lineRule="auto"/>
        <w:ind w:right="-144"/>
        <w:jc w:val="both"/>
        <w:rPr>
          <w:rFonts w:ascii="CircularXX TT" w:hAnsi="CircularXX TT" w:cs="CircularXX TT"/>
          <w:bCs/>
          <w:sz w:val="18"/>
          <w:szCs w:val="18"/>
        </w:rPr>
      </w:pPr>
      <w:r w:rsidRPr="003C68C3">
        <w:rPr>
          <w:rFonts w:ascii="CircularXX TT" w:hAnsi="CircularXX TT" w:cs="CircularXX TT"/>
          <w:b/>
          <w:sz w:val="18"/>
          <w:szCs w:val="18"/>
        </w:rPr>
        <w:t xml:space="preserve">Über Nendaz: </w:t>
      </w:r>
      <w:r w:rsidRPr="003C68C3">
        <w:rPr>
          <w:rFonts w:ascii="CircularXX TT" w:hAnsi="CircularXX TT" w:cs="CircularXX TT"/>
          <w:bCs/>
          <w:sz w:val="18"/>
          <w:szCs w:val="18"/>
        </w:rPr>
        <w:t>Nendaz schafft Erinnerungen und steht nicht nur für 400 Pistenkilometer, sondern auch für eine Vielzahl Sommeraktivitäten. Wir sind eine herzliche, überschaubare Destination, wo das Leben pulsiert und Authentizität grossgeschrieben wird. Zu Fuss, per Bike oder mit den Bergbahnen lässt sich die Gegend erkunden und auf den rund 250km Wanderwegen entdeck</w:t>
      </w:r>
      <w:r w:rsidR="00931FA4">
        <w:rPr>
          <w:rFonts w:ascii="CircularXX TT" w:hAnsi="CircularXX TT" w:cs="CircularXX TT"/>
          <w:bCs/>
          <w:sz w:val="18"/>
          <w:szCs w:val="18"/>
        </w:rPr>
        <w:t xml:space="preserve">en Sie </w:t>
      </w:r>
      <w:r w:rsidRPr="003C68C3">
        <w:rPr>
          <w:rFonts w:ascii="CircularXX TT" w:hAnsi="CircularXX TT" w:cs="CircularXX TT"/>
          <w:bCs/>
          <w:sz w:val="18"/>
          <w:szCs w:val="18"/>
        </w:rPr>
        <w:t xml:space="preserve">die wunderschöne Landschaft der Ferienregion. Besonders beliebt sind unsere acht Suonen, die historischen Bewässerungskanäle, von denen sechs noch immer in Betrieb sind. Sie bieten angenehm flache und schattige Wanderungen entlang des Wassers. Eingebettet in einer Hochgebirgslandschaft zwischen dem Mont Fort und dem Mont Blanc finden Eltern und Kinder alles was das Herz begehrt. Ob abwechslungsreiche Spielplätze oder spannende Schatzsuchen wir bieten viele erlebnisreiche Aktivitäten, die einen Aufenthalt unvergesslich machen. </w:t>
      </w:r>
    </w:p>
    <w:p w14:paraId="282A82B4" w14:textId="0F2333DD" w:rsidR="00FF5498" w:rsidRPr="00FF5498" w:rsidRDefault="00FF5498" w:rsidP="003C68C3">
      <w:pPr>
        <w:spacing w:line="276" w:lineRule="auto"/>
        <w:jc w:val="both"/>
        <w:rPr>
          <w:rFonts w:ascii="CircularXX TT" w:hAnsi="CircularXX TT" w:cs="CircularXX TT"/>
        </w:rPr>
      </w:pPr>
    </w:p>
    <w:sectPr w:rsidR="00FF5498" w:rsidRPr="00FF5498">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0C278" w14:textId="77777777" w:rsidR="00F5735B" w:rsidRDefault="00F5735B" w:rsidP="003C68C3">
      <w:r>
        <w:separator/>
      </w:r>
    </w:p>
  </w:endnote>
  <w:endnote w:type="continuationSeparator" w:id="0">
    <w:p w14:paraId="39573DC2" w14:textId="77777777" w:rsidR="00F5735B" w:rsidRDefault="00F5735B" w:rsidP="003C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ularXX TT">
    <w:panose1 w:val="020B0504010101010104"/>
    <w:charset w:val="00"/>
    <w:family w:val="swiss"/>
    <w:pitch w:val="variable"/>
    <w:sig w:usb0="A00000BF" w:usb1="5000E47B" w:usb2="00000008"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0CA3" w14:textId="77777777" w:rsidR="00F5735B" w:rsidRDefault="00F5735B" w:rsidP="003C68C3">
      <w:r>
        <w:separator/>
      </w:r>
    </w:p>
  </w:footnote>
  <w:footnote w:type="continuationSeparator" w:id="0">
    <w:p w14:paraId="1922DA26" w14:textId="77777777" w:rsidR="00F5735B" w:rsidRDefault="00F5735B" w:rsidP="003C6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43F5" w14:textId="5ACB18A6" w:rsidR="003C68C3" w:rsidRDefault="003C68C3">
    <w:pPr>
      <w:pStyle w:val="Kopfzeile"/>
    </w:pPr>
    <w:r>
      <w:rPr>
        <w:noProof/>
      </w:rPr>
      <w:drawing>
        <wp:anchor distT="0" distB="0" distL="114300" distR="114300" simplePos="0" relativeHeight="251659264" behindDoc="0" locked="0" layoutInCell="1" allowOverlap="1" wp14:anchorId="3C7D7870" wp14:editId="2ACF074A">
          <wp:simplePos x="0" y="0"/>
          <wp:positionH relativeFrom="column">
            <wp:posOffset>4109720</wp:posOffset>
          </wp:positionH>
          <wp:positionV relativeFrom="paragraph">
            <wp:posOffset>-106680</wp:posOffset>
          </wp:positionV>
          <wp:extent cx="1671320" cy="942975"/>
          <wp:effectExtent l="0" t="0" r="5080" b="9525"/>
          <wp:wrapSquare wrapText="bothSides"/>
          <wp:docPr id="211829650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32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7D"/>
    <w:rsid w:val="00067E15"/>
    <w:rsid w:val="000C2411"/>
    <w:rsid w:val="001139FE"/>
    <w:rsid w:val="0024443F"/>
    <w:rsid w:val="00351B88"/>
    <w:rsid w:val="003C68C3"/>
    <w:rsid w:val="00430B1A"/>
    <w:rsid w:val="004676ED"/>
    <w:rsid w:val="00474044"/>
    <w:rsid w:val="004F396E"/>
    <w:rsid w:val="00526ACC"/>
    <w:rsid w:val="00540ECD"/>
    <w:rsid w:val="00563373"/>
    <w:rsid w:val="00640933"/>
    <w:rsid w:val="0068599A"/>
    <w:rsid w:val="00686CB5"/>
    <w:rsid w:val="007401A8"/>
    <w:rsid w:val="00882E30"/>
    <w:rsid w:val="008F2A8C"/>
    <w:rsid w:val="00931FA4"/>
    <w:rsid w:val="00A105FD"/>
    <w:rsid w:val="00A82B57"/>
    <w:rsid w:val="00B3450F"/>
    <w:rsid w:val="00BD3E4E"/>
    <w:rsid w:val="00C4292E"/>
    <w:rsid w:val="00C73C67"/>
    <w:rsid w:val="00C81BD7"/>
    <w:rsid w:val="00C911B6"/>
    <w:rsid w:val="00CA1CDD"/>
    <w:rsid w:val="00CA2DD8"/>
    <w:rsid w:val="00CD3DDE"/>
    <w:rsid w:val="00CE65C7"/>
    <w:rsid w:val="00CF3B7D"/>
    <w:rsid w:val="00D464F4"/>
    <w:rsid w:val="00E96B3D"/>
    <w:rsid w:val="00EA6D58"/>
    <w:rsid w:val="00ED6504"/>
    <w:rsid w:val="00F46ED3"/>
    <w:rsid w:val="00F5735B"/>
    <w:rsid w:val="00FD7217"/>
    <w:rsid w:val="00FF54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19F6"/>
  <w15:chartTrackingRefBased/>
  <w15:docId w15:val="{EB06AA33-C4FC-49C5-84AD-49995023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C68C3"/>
    <w:rPr>
      <w:color w:val="0563C1" w:themeColor="hyperlink"/>
      <w:u w:val="single"/>
    </w:rPr>
  </w:style>
  <w:style w:type="paragraph" w:styleId="Kopfzeile">
    <w:name w:val="header"/>
    <w:basedOn w:val="Standard"/>
    <w:link w:val="KopfzeileZchn"/>
    <w:uiPriority w:val="99"/>
    <w:unhideWhenUsed/>
    <w:rsid w:val="003C68C3"/>
    <w:pPr>
      <w:tabs>
        <w:tab w:val="center" w:pos="4536"/>
        <w:tab w:val="right" w:pos="9072"/>
      </w:tabs>
    </w:pPr>
  </w:style>
  <w:style w:type="character" w:customStyle="1" w:styleId="KopfzeileZchn">
    <w:name w:val="Kopfzeile Zchn"/>
    <w:basedOn w:val="Absatz-Standardschriftart"/>
    <w:link w:val="Kopfzeile"/>
    <w:uiPriority w:val="99"/>
    <w:rsid w:val="003C68C3"/>
  </w:style>
  <w:style w:type="paragraph" w:styleId="Fuzeile">
    <w:name w:val="footer"/>
    <w:basedOn w:val="Standard"/>
    <w:link w:val="FuzeileZchn"/>
    <w:uiPriority w:val="99"/>
    <w:unhideWhenUsed/>
    <w:rsid w:val="003C68C3"/>
    <w:pPr>
      <w:tabs>
        <w:tab w:val="center" w:pos="4536"/>
        <w:tab w:val="right" w:pos="9072"/>
      </w:tabs>
    </w:pPr>
  </w:style>
  <w:style w:type="character" w:customStyle="1" w:styleId="FuzeileZchn">
    <w:name w:val="Fußzeile Zchn"/>
    <w:basedOn w:val="Absatz-Standardschriftart"/>
    <w:link w:val="Fuzeile"/>
    <w:uiPriority w:val="99"/>
    <w:rsid w:val="003C68C3"/>
  </w:style>
  <w:style w:type="character" w:styleId="Kommentarzeichen">
    <w:name w:val="annotation reference"/>
    <w:basedOn w:val="Absatz-Standardschriftart"/>
    <w:uiPriority w:val="99"/>
    <w:semiHidden/>
    <w:unhideWhenUsed/>
    <w:rsid w:val="00686CB5"/>
    <w:rPr>
      <w:sz w:val="16"/>
      <w:szCs w:val="16"/>
    </w:rPr>
  </w:style>
  <w:style w:type="paragraph" w:styleId="Kommentartext">
    <w:name w:val="annotation text"/>
    <w:basedOn w:val="Standard"/>
    <w:link w:val="KommentartextZchn"/>
    <w:uiPriority w:val="99"/>
    <w:semiHidden/>
    <w:unhideWhenUsed/>
    <w:rsid w:val="00686CB5"/>
    <w:rPr>
      <w:sz w:val="20"/>
      <w:szCs w:val="20"/>
    </w:rPr>
  </w:style>
  <w:style w:type="character" w:customStyle="1" w:styleId="KommentartextZchn">
    <w:name w:val="Kommentartext Zchn"/>
    <w:basedOn w:val="Absatz-Standardschriftart"/>
    <w:link w:val="Kommentartext"/>
    <w:uiPriority w:val="99"/>
    <w:semiHidden/>
    <w:rsid w:val="00686CB5"/>
    <w:rPr>
      <w:sz w:val="20"/>
      <w:szCs w:val="20"/>
    </w:rPr>
  </w:style>
  <w:style w:type="paragraph" w:styleId="Kommentarthema">
    <w:name w:val="annotation subject"/>
    <w:basedOn w:val="Kommentartext"/>
    <w:next w:val="Kommentartext"/>
    <w:link w:val="KommentarthemaZchn"/>
    <w:uiPriority w:val="99"/>
    <w:semiHidden/>
    <w:unhideWhenUsed/>
    <w:rsid w:val="00686CB5"/>
    <w:rPr>
      <w:b/>
      <w:bCs/>
    </w:rPr>
  </w:style>
  <w:style w:type="character" w:customStyle="1" w:styleId="KommentarthemaZchn">
    <w:name w:val="Kommentarthema Zchn"/>
    <w:basedOn w:val="KommentartextZchn"/>
    <w:link w:val="Kommentarthema"/>
    <w:uiPriority w:val="99"/>
    <w:semiHidden/>
    <w:rsid w:val="00686CB5"/>
    <w:rPr>
      <w:b/>
      <w:bCs/>
      <w:sz w:val="20"/>
      <w:szCs w:val="20"/>
    </w:rPr>
  </w:style>
  <w:style w:type="paragraph" w:styleId="Sprechblasentext">
    <w:name w:val="Balloon Text"/>
    <w:basedOn w:val="Standard"/>
    <w:link w:val="SprechblasentextZchn"/>
    <w:uiPriority w:val="99"/>
    <w:semiHidden/>
    <w:unhideWhenUsed/>
    <w:rsid w:val="00686CB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6CB5"/>
    <w:rPr>
      <w:rFonts w:ascii="Segoe UI" w:hAnsi="Segoe UI" w:cs="Segoe UI"/>
      <w:sz w:val="18"/>
      <w:szCs w:val="18"/>
    </w:rPr>
  </w:style>
  <w:style w:type="character" w:styleId="NichtaufgelsteErwhnung">
    <w:name w:val="Unresolved Mention"/>
    <w:basedOn w:val="Absatz-Standardschriftart"/>
    <w:uiPriority w:val="99"/>
    <w:semiHidden/>
    <w:unhideWhenUsed/>
    <w:rsid w:val="00FF5498"/>
    <w:rPr>
      <w:color w:val="605E5C"/>
      <w:shd w:val="clear" w:color="auto" w:fill="E1DFDD"/>
    </w:rPr>
  </w:style>
  <w:style w:type="character" w:styleId="BesuchterLink">
    <w:name w:val="FollowedHyperlink"/>
    <w:basedOn w:val="Absatz-Standardschriftart"/>
    <w:uiPriority w:val="99"/>
    <w:semiHidden/>
    <w:unhideWhenUsed/>
    <w:rsid w:val="00D464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90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vJB1m95TEQ" TargetMode="External"/><Relationship Id="rId3" Type="http://schemas.openxmlformats.org/officeDocument/2006/relationships/webSettings" Target="webSettings.xml"/><Relationship Id="rId7" Type="http://schemas.openxmlformats.org/officeDocument/2006/relationships/hyperlink" Target="https://www.apgsga.ch/de/aktionen/werbelo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ndaz.ch/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3696</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Schuetz Elisha Nicolas (TLVG)</dc:creator>
  <cp:keywords/>
  <dc:description/>
  <cp:lastModifiedBy>Agata Dianiskova (Gretz Communications AG)</cp:lastModifiedBy>
  <cp:revision>5</cp:revision>
  <dcterms:created xsi:type="dcterms:W3CDTF">2023-05-15T09:47:00Z</dcterms:created>
  <dcterms:modified xsi:type="dcterms:W3CDTF">2023-05-24T14:28:00Z</dcterms:modified>
</cp:coreProperties>
</file>